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270" w:rsidRPr="00182270" w:rsidRDefault="00182270" w:rsidP="00182270">
      <w:pPr>
        <w:ind w:left="2268" w:right="1558"/>
        <w:jc w:val="both"/>
        <w:rPr>
          <w:rFonts w:ascii="Tahoma" w:hAnsi="Tahoma" w:cs="Tahoma"/>
          <w:i/>
          <w:sz w:val="20"/>
          <w:szCs w:val="20"/>
        </w:rPr>
      </w:pPr>
      <w:r w:rsidRPr="00182270">
        <w:rPr>
          <w:rFonts w:ascii="Tahoma" w:hAnsi="Tahoma" w:cs="Tahoma"/>
          <w:b/>
          <w:i/>
          <w:sz w:val="20"/>
          <w:szCs w:val="20"/>
        </w:rPr>
        <w:t>Sumilla:</w:t>
      </w:r>
      <w:r w:rsidRPr="00182270">
        <w:rPr>
          <w:rFonts w:ascii="Tahoma" w:hAnsi="Tahoma" w:cs="Tahoma"/>
          <w:i/>
          <w:sz w:val="20"/>
          <w:szCs w:val="20"/>
        </w:rPr>
        <w:t xml:space="preserve"> “No se configura la infracción consistente en la falta de suscripción injustificada del contrato por parte del postor ganador de la buena pro, si </w:t>
      </w:r>
      <w:smartTag w:uri="urn:schemas-microsoft-com:office:smarttags" w:element="PersonName">
        <w:smartTagPr>
          <w:attr w:name="ProductID" w:val="la Entidad"/>
        </w:smartTagPr>
        <w:r w:rsidRPr="00182270">
          <w:rPr>
            <w:rFonts w:ascii="Tahoma" w:hAnsi="Tahoma" w:cs="Tahoma"/>
            <w:i/>
            <w:sz w:val="20"/>
            <w:szCs w:val="20"/>
          </w:rPr>
          <w:t>la Entidad</w:t>
        </w:r>
      </w:smartTag>
      <w:r w:rsidRPr="00182270">
        <w:rPr>
          <w:rFonts w:ascii="Tahoma" w:hAnsi="Tahoma" w:cs="Tahoma"/>
          <w:i/>
          <w:sz w:val="20"/>
          <w:szCs w:val="20"/>
        </w:rPr>
        <w:t xml:space="preserve"> no ha seguido el procedimiento establecido para proceder a dicha suscripción”</w:t>
      </w:r>
    </w:p>
    <w:p w:rsidR="00182270" w:rsidRPr="00182270" w:rsidRDefault="00182270" w:rsidP="00182270">
      <w:pPr>
        <w:pStyle w:val="Textoindependiente3"/>
        <w:spacing w:after="0"/>
        <w:rPr>
          <w:rFonts w:ascii="Tahoma" w:hAnsi="Tahoma" w:cs="Tahoma"/>
          <w:i/>
          <w:sz w:val="20"/>
          <w:szCs w:val="20"/>
          <w:lang w:val="es-ES"/>
        </w:rPr>
      </w:pPr>
    </w:p>
    <w:p w:rsidR="00182270" w:rsidRPr="00182270" w:rsidRDefault="00182270" w:rsidP="00182270">
      <w:pPr>
        <w:pStyle w:val="Textoindependiente3"/>
        <w:spacing w:after="0"/>
        <w:ind w:left="5387"/>
        <w:jc w:val="both"/>
        <w:rPr>
          <w:rFonts w:ascii="Tahoma" w:hAnsi="Tahoma" w:cs="Tahoma"/>
          <w:b/>
          <w:sz w:val="20"/>
          <w:szCs w:val="20"/>
        </w:rPr>
      </w:pPr>
      <w:r w:rsidRPr="00182270">
        <w:rPr>
          <w:rFonts w:ascii="Tahoma" w:hAnsi="Tahoma" w:cs="Tahoma"/>
          <w:b/>
          <w:sz w:val="20"/>
          <w:szCs w:val="20"/>
        </w:rPr>
        <w:t>Lima,</w:t>
      </w:r>
      <w:r w:rsidR="005843EA">
        <w:rPr>
          <w:rFonts w:ascii="Tahoma" w:hAnsi="Tahoma" w:cs="Tahoma"/>
          <w:b/>
          <w:sz w:val="20"/>
          <w:szCs w:val="20"/>
        </w:rPr>
        <w:t xml:space="preserve"> 07 de Marzo de 2011</w:t>
      </w:r>
    </w:p>
    <w:p w:rsidR="00182270" w:rsidRPr="00182270" w:rsidRDefault="00182270" w:rsidP="00182270">
      <w:pPr>
        <w:pStyle w:val="Textoindependiente3"/>
        <w:spacing w:after="0"/>
        <w:ind w:left="5387"/>
        <w:jc w:val="both"/>
        <w:rPr>
          <w:rFonts w:ascii="Tahoma" w:hAnsi="Tahoma" w:cs="Tahoma"/>
          <w:b/>
          <w:sz w:val="20"/>
          <w:szCs w:val="20"/>
        </w:rPr>
      </w:pPr>
    </w:p>
    <w:p w:rsidR="00182270" w:rsidRPr="00182270" w:rsidRDefault="00182270" w:rsidP="00182270">
      <w:pPr>
        <w:ind w:left="567" w:firstLine="567"/>
        <w:contextualSpacing/>
        <w:jc w:val="both"/>
        <w:rPr>
          <w:rFonts w:ascii="Tahoma" w:hAnsi="Tahoma" w:cs="Tahoma"/>
          <w:sz w:val="20"/>
          <w:szCs w:val="20"/>
        </w:rPr>
      </w:pPr>
      <w:r w:rsidRPr="00182270">
        <w:rPr>
          <w:rFonts w:ascii="Tahoma" w:hAnsi="Tahoma" w:cs="Tahoma"/>
          <w:b/>
          <w:sz w:val="20"/>
          <w:szCs w:val="20"/>
        </w:rPr>
        <w:t xml:space="preserve">Visto </w:t>
      </w:r>
      <w:r w:rsidRPr="00182270">
        <w:rPr>
          <w:rFonts w:ascii="Tahoma" w:hAnsi="Tahoma" w:cs="Tahoma"/>
          <w:sz w:val="20"/>
          <w:szCs w:val="20"/>
        </w:rPr>
        <w:t>en sesión de fecha 07 de marzo de 2011, la Primera Sala del Tribunal de Contrataciones del Estado el Expediente N° 1227-2008-TC; sobre el procedimiento administrativo sancionador iniciado contra Ninfa Ortiz de Ninanya por no cumplir con suscribir el contrato respecto de la Adjudicación Directa Selectiva Nº 002-2008-INPE/20, para “Adquisición de raciones alimenticias para consumo de personas (internas y personal del INPE) del Establecimiento Penitenciario de Concepción y la Sede Regional de la Oficina Regional Centro Huancayo” para “la Contratación del servicio de ejecución de actividades comerciales en el ámbito de la gerencia de servicios sur”, proceso que le fuese adjudicado con la Buena Pro.</w:t>
      </w:r>
    </w:p>
    <w:p w:rsidR="00182270" w:rsidRPr="00182270" w:rsidRDefault="00182270" w:rsidP="00182270">
      <w:pPr>
        <w:ind w:firstLine="567"/>
        <w:contextualSpacing/>
        <w:jc w:val="both"/>
        <w:rPr>
          <w:rFonts w:ascii="Tahoma" w:hAnsi="Tahoma" w:cs="Tahoma"/>
          <w:b/>
          <w:sz w:val="20"/>
          <w:szCs w:val="20"/>
          <w:lang w:val="es-ES_tradnl"/>
        </w:rPr>
      </w:pPr>
    </w:p>
    <w:p w:rsidR="00182270" w:rsidRPr="00182270" w:rsidRDefault="00182270" w:rsidP="00182270">
      <w:pPr>
        <w:pStyle w:val="Prrafodelista"/>
        <w:numPr>
          <w:ilvl w:val="0"/>
          <w:numId w:val="1"/>
        </w:numPr>
        <w:ind w:left="567" w:hanging="425"/>
        <w:rPr>
          <w:rFonts w:ascii="Tahoma" w:hAnsi="Tahoma" w:cs="Tahoma"/>
          <w:b/>
          <w:sz w:val="20"/>
        </w:rPr>
      </w:pPr>
      <w:r w:rsidRPr="00182270">
        <w:rPr>
          <w:rFonts w:ascii="Tahoma" w:hAnsi="Tahoma" w:cs="Tahoma"/>
          <w:b/>
          <w:sz w:val="20"/>
        </w:rPr>
        <w:t>ANTECEDENTES:</w:t>
      </w:r>
    </w:p>
    <w:p w:rsidR="00182270" w:rsidRPr="00182270" w:rsidRDefault="00182270" w:rsidP="00182270">
      <w:pPr>
        <w:jc w:val="both"/>
        <w:rPr>
          <w:rFonts w:ascii="Tahoma" w:hAnsi="Tahoma" w:cs="Tahoma"/>
          <w:b/>
          <w:sz w:val="20"/>
          <w:szCs w:val="20"/>
          <w:lang w:eastAsia="es-PE"/>
        </w:rPr>
      </w:pPr>
    </w:p>
    <w:p w:rsidR="00182270" w:rsidRPr="00182270" w:rsidRDefault="00182270" w:rsidP="00182270">
      <w:pPr>
        <w:pStyle w:val="p1"/>
        <w:numPr>
          <w:ilvl w:val="0"/>
          <w:numId w:val="2"/>
        </w:numPr>
        <w:tabs>
          <w:tab w:val="clear" w:pos="340"/>
          <w:tab w:val="num" w:pos="567"/>
          <w:tab w:val="center" w:pos="5832"/>
          <w:tab w:val="right" w:pos="8789"/>
        </w:tabs>
        <w:ind w:left="567" w:hanging="567"/>
        <w:rPr>
          <w:rFonts w:ascii="Tahoma" w:hAnsi="Tahoma" w:cs="Tahoma"/>
          <w:sz w:val="20"/>
        </w:rPr>
      </w:pPr>
      <w:r w:rsidRPr="00182270">
        <w:rPr>
          <w:rFonts w:ascii="Tahoma" w:hAnsi="Tahoma" w:cs="Tahoma"/>
          <w:sz w:val="20"/>
        </w:rPr>
        <w:t>El 14 de marzo de 2008, el Instituto Nacional Penitenciario, en adelante, la Entidad, convocó a la Adjudicación Directa Selectiva Nº 002-2008-INPE/20, para “Adquisición de raciones alimenticias para consumo de personas (internas y personal del INPE) del Establecimiento Penitenciario de Concepción y la Sede Regional de la Oficina Regional Centro Huancayo”, por un valor referencial ascendente a S/. 27,950.00 (Veintisiete mil novecientos cincuenta y 00/100 Nuevos Soles), incluido los impuestos de Ley.</w:t>
      </w:r>
    </w:p>
    <w:p w:rsidR="00182270" w:rsidRPr="00182270" w:rsidRDefault="00182270" w:rsidP="00182270">
      <w:pPr>
        <w:tabs>
          <w:tab w:val="num" w:pos="1035"/>
        </w:tabs>
        <w:ind w:left="540"/>
        <w:jc w:val="both"/>
        <w:rPr>
          <w:rFonts w:ascii="Tahoma" w:hAnsi="Tahoma" w:cs="Tahoma"/>
          <w:sz w:val="20"/>
          <w:szCs w:val="20"/>
        </w:rPr>
      </w:pPr>
    </w:p>
    <w:p w:rsidR="00182270" w:rsidRPr="00182270" w:rsidRDefault="00182270" w:rsidP="00182270">
      <w:pPr>
        <w:pStyle w:val="Sangradetextonormal"/>
        <w:numPr>
          <w:ilvl w:val="0"/>
          <w:numId w:val="2"/>
        </w:numPr>
        <w:tabs>
          <w:tab w:val="clear" w:pos="340"/>
          <w:tab w:val="num" w:pos="567"/>
          <w:tab w:val="left" w:pos="1985"/>
        </w:tabs>
        <w:spacing w:after="0"/>
        <w:ind w:left="567" w:hanging="567"/>
        <w:jc w:val="both"/>
        <w:rPr>
          <w:rFonts w:ascii="Tahoma" w:hAnsi="Tahoma" w:cs="Tahoma"/>
          <w:sz w:val="20"/>
          <w:szCs w:val="20"/>
        </w:rPr>
      </w:pPr>
      <w:r w:rsidRPr="00182270">
        <w:rPr>
          <w:rFonts w:ascii="Tahoma" w:hAnsi="Tahoma" w:cs="Tahoma"/>
          <w:sz w:val="20"/>
          <w:szCs w:val="20"/>
        </w:rPr>
        <w:t>El 14 de marzo de 2008, se llevó a cabo el acto de otorgamiento de la buena pro, adjudicándosele a Ninfa Ortiz de Ninanya, en adelante, el Postor. Sin embargo, el 24 de marzo de 2008, la Contratista comunica su desistimiento al otorgamiento de la Buena Pro por motivos de salud, acogiéndose al último párrafo del artículo 196 del Reglamento de la Ley de Contrataciones y Adquisiciones del Estado, aprobado por Decreto Supremo Nº 084-2004-PCM, norma vigente al momento de la producción de los hechos, por lo que no se suscribió el correspondiente contrato.</w:t>
      </w:r>
    </w:p>
    <w:p w:rsidR="00182270" w:rsidRPr="00182270" w:rsidRDefault="00182270" w:rsidP="00182270">
      <w:pPr>
        <w:tabs>
          <w:tab w:val="num" w:pos="1035"/>
        </w:tabs>
        <w:ind w:left="540"/>
        <w:jc w:val="both"/>
        <w:rPr>
          <w:rFonts w:ascii="Tahoma" w:hAnsi="Tahoma" w:cs="Tahoma"/>
          <w:sz w:val="20"/>
          <w:szCs w:val="20"/>
        </w:rPr>
      </w:pPr>
    </w:p>
    <w:p w:rsidR="00182270" w:rsidRPr="00182270" w:rsidRDefault="00182270" w:rsidP="00182270">
      <w:pPr>
        <w:numPr>
          <w:ilvl w:val="0"/>
          <w:numId w:val="2"/>
        </w:numPr>
        <w:tabs>
          <w:tab w:val="clear" w:pos="340"/>
          <w:tab w:val="num" w:pos="540"/>
          <w:tab w:val="num" w:pos="1035"/>
        </w:tabs>
        <w:ind w:left="540" w:hanging="540"/>
        <w:jc w:val="both"/>
        <w:rPr>
          <w:rFonts w:ascii="Tahoma" w:hAnsi="Tahoma" w:cs="Tahoma"/>
          <w:sz w:val="20"/>
          <w:szCs w:val="20"/>
        </w:rPr>
      </w:pPr>
      <w:r w:rsidRPr="00182270">
        <w:rPr>
          <w:rFonts w:ascii="Tahoma" w:hAnsi="Tahoma" w:cs="Tahoma"/>
          <w:sz w:val="20"/>
          <w:szCs w:val="20"/>
        </w:rPr>
        <w:t>Mediante Oficio Nº 083-2008-INPE/20 recibido por Mesa de Partes del Tribunal de Contrataciones del Estado, en adelante, el Tribunal, el 03 de abril de 2008, la Entidad puso en conocimiento que la Contratista habría incurrido en causal de infracción al haberse negado a suscribir el contrato derivado de la Adjudicación Directa Selectiva Nº 002-2008-INPE/20, proceso que le fue adjudicado.</w:t>
      </w:r>
    </w:p>
    <w:p w:rsidR="00182270" w:rsidRPr="00182270" w:rsidRDefault="00182270" w:rsidP="00182270">
      <w:pPr>
        <w:pStyle w:val="Prrafodelista"/>
        <w:rPr>
          <w:rFonts w:ascii="Tahoma" w:hAnsi="Tahoma" w:cs="Tahoma"/>
          <w:sz w:val="20"/>
        </w:rPr>
      </w:pPr>
    </w:p>
    <w:p w:rsidR="00182270" w:rsidRPr="00182270" w:rsidRDefault="00182270" w:rsidP="00182270">
      <w:pPr>
        <w:numPr>
          <w:ilvl w:val="0"/>
          <w:numId w:val="2"/>
        </w:numPr>
        <w:tabs>
          <w:tab w:val="clear" w:pos="340"/>
          <w:tab w:val="num" w:pos="540"/>
          <w:tab w:val="num" w:pos="1035"/>
        </w:tabs>
        <w:ind w:left="540" w:hanging="540"/>
        <w:jc w:val="both"/>
        <w:rPr>
          <w:rFonts w:ascii="Tahoma" w:hAnsi="Tahoma" w:cs="Tahoma"/>
          <w:sz w:val="20"/>
          <w:szCs w:val="20"/>
        </w:rPr>
      </w:pPr>
      <w:r w:rsidRPr="00182270">
        <w:rPr>
          <w:rFonts w:ascii="Tahoma" w:hAnsi="Tahoma" w:cs="Tahoma"/>
          <w:sz w:val="20"/>
          <w:szCs w:val="20"/>
        </w:rPr>
        <w:t>Teniéndose en cuenta ello, mediante decreto de 08 de abril de 2008 se dio inicio el procedimiento administrativo sancionador  al Postor y se le notificó a fin que dentro del plazo de diez (10) días hábiles cumpla con presentar sus descargos.</w:t>
      </w:r>
    </w:p>
    <w:p w:rsidR="00182270" w:rsidRPr="00182270" w:rsidRDefault="00182270" w:rsidP="00182270">
      <w:pPr>
        <w:tabs>
          <w:tab w:val="num" w:pos="1035"/>
        </w:tabs>
        <w:jc w:val="both"/>
        <w:rPr>
          <w:rFonts w:ascii="Tahoma" w:hAnsi="Tahoma" w:cs="Tahoma"/>
          <w:sz w:val="20"/>
          <w:szCs w:val="20"/>
        </w:rPr>
      </w:pPr>
    </w:p>
    <w:p w:rsidR="00182270" w:rsidRPr="00182270" w:rsidRDefault="00182270" w:rsidP="00182270">
      <w:pPr>
        <w:numPr>
          <w:ilvl w:val="0"/>
          <w:numId w:val="2"/>
        </w:numPr>
        <w:tabs>
          <w:tab w:val="clear" w:pos="340"/>
          <w:tab w:val="num" w:pos="540"/>
          <w:tab w:val="num" w:pos="1035"/>
        </w:tabs>
        <w:ind w:left="540" w:hanging="540"/>
        <w:jc w:val="both"/>
        <w:rPr>
          <w:rFonts w:ascii="Tahoma" w:hAnsi="Tahoma" w:cs="Tahoma"/>
          <w:sz w:val="20"/>
          <w:szCs w:val="20"/>
        </w:rPr>
      </w:pPr>
      <w:r w:rsidRPr="00182270">
        <w:rPr>
          <w:rFonts w:ascii="Tahoma" w:hAnsi="Tahoma" w:cs="Tahoma"/>
          <w:sz w:val="20"/>
          <w:szCs w:val="20"/>
        </w:rPr>
        <w:t xml:space="preserve">Al respecto, la señora Ninfa Ortiz de Ninanya presentó sus descargos el 11 de setiembre de 2008 mediante Carta S/N, a través de la cual manifiesta que la no suscripción del contrato se debió a motivos de salud, y adjunta una Carta S/N que remitió el 24 de marzo de 2008 a la Entidad comunicando su desistimiento a la buena pro del proceso de selección adjudicado a su persona. </w:t>
      </w:r>
    </w:p>
    <w:p w:rsidR="00182270" w:rsidRPr="00182270" w:rsidRDefault="00182270" w:rsidP="00182270">
      <w:pPr>
        <w:pStyle w:val="Prrafodelista"/>
        <w:rPr>
          <w:rFonts w:ascii="Tahoma" w:hAnsi="Tahoma" w:cs="Tahoma"/>
          <w:sz w:val="20"/>
        </w:rPr>
      </w:pPr>
    </w:p>
    <w:p w:rsidR="00182270" w:rsidRPr="00182270" w:rsidRDefault="00182270" w:rsidP="00182270">
      <w:pPr>
        <w:tabs>
          <w:tab w:val="num" w:pos="1035"/>
        </w:tabs>
        <w:ind w:left="540"/>
        <w:jc w:val="both"/>
        <w:rPr>
          <w:rFonts w:ascii="Tahoma" w:hAnsi="Tahoma" w:cs="Tahoma"/>
          <w:sz w:val="20"/>
          <w:szCs w:val="20"/>
        </w:rPr>
      </w:pPr>
      <w:r w:rsidRPr="00182270">
        <w:rPr>
          <w:rFonts w:ascii="Tahoma" w:hAnsi="Tahoma" w:cs="Tahoma"/>
          <w:sz w:val="20"/>
          <w:szCs w:val="20"/>
        </w:rPr>
        <w:t xml:space="preserve">A través de dicho documento manifiesta que con fecha 23 de marzo sufrió un deterioro en su salud, puesto que sufre de diabetes y que ello sumado a lo avanzado de su edad, la llevó a ser hospitalizada. Así también señaló que su médico el Dr. Francisco Pérez Camborda le había indicado que su estado de salud era muy delicado y que necesitaba descanso y tranquilidad ya que un estado de agitación podría llevarla a un coma diabético. En ese sentido, y teniendo en cuenta la imposibilidad de seguir laborando es que decidió no proceder con la suscripción del respectivo contrato. </w:t>
      </w:r>
    </w:p>
    <w:p w:rsidR="00182270" w:rsidRPr="00182270" w:rsidRDefault="00182270" w:rsidP="00182270">
      <w:pPr>
        <w:pStyle w:val="Prrafodelista"/>
        <w:rPr>
          <w:rFonts w:ascii="Tahoma" w:hAnsi="Tahoma" w:cs="Tahoma"/>
          <w:sz w:val="20"/>
        </w:rPr>
      </w:pPr>
    </w:p>
    <w:p w:rsidR="00182270" w:rsidRPr="00182270" w:rsidRDefault="00182270" w:rsidP="00182270">
      <w:pPr>
        <w:tabs>
          <w:tab w:val="num" w:pos="1035"/>
        </w:tabs>
        <w:ind w:left="540"/>
        <w:jc w:val="both"/>
        <w:rPr>
          <w:rFonts w:ascii="Tahoma" w:hAnsi="Tahoma" w:cs="Tahoma"/>
          <w:sz w:val="20"/>
          <w:szCs w:val="20"/>
        </w:rPr>
      </w:pPr>
      <w:r w:rsidRPr="00182270">
        <w:rPr>
          <w:rFonts w:ascii="Tahoma" w:hAnsi="Tahoma" w:cs="Tahoma"/>
          <w:sz w:val="20"/>
          <w:szCs w:val="20"/>
        </w:rPr>
        <w:t>Como medios probatorios adjunta a su comunicación:</w:t>
      </w:r>
    </w:p>
    <w:p w:rsidR="00182270" w:rsidRPr="00182270" w:rsidRDefault="00182270" w:rsidP="00182270">
      <w:pPr>
        <w:pStyle w:val="Prrafodelista"/>
        <w:rPr>
          <w:rFonts w:ascii="Tahoma" w:hAnsi="Tahoma" w:cs="Tahoma"/>
          <w:sz w:val="20"/>
        </w:rPr>
      </w:pPr>
    </w:p>
    <w:p w:rsidR="00182270" w:rsidRPr="00182270" w:rsidRDefault="00182270" w:rsidP="00182270">
      <w:pPr>
        <w:tabs>
          <w:tab w:val="num" w:pos="1035"/>
        </w:tabs>
        <w:ind w:left="1276" w:hanging="568"/>
        <w:jc w:val="both"/>
        <w:rPr>
          <w:rFonts w:ascii="Tahoma" w:hAnsi="Tahoma" w:cs="Tahoma"/>
          <w:sz w:val="20"/>
          <w:szCs w:val="20"/>
        </w:rPr>
      </w:pPr>
      <w:r w:rsidRPr="00182270">
        <w:rPr>
          <w:rFonts w:ascii="Tahoma" w:hAnsi="Tahoma" w:cs="Tahoma"/>
          <w:sz w:val="20"/>
          <w:szCs w:val="20"/>
        </w:rPr>
        <w:tab/>
        <w:t>A) la Historia Clínica Nº 33916 del CS Concepción MINSA, el cual indica que sufre de Diabetes Mellitus Tipo II desde el año 2005.</w:t>
      </w:r>
    </w:p>
    <w:p w:rsidR="00182270" w:rsidRPr="00182270" w:rsidRDefault="00182270" w:rsidP="00182270">
      <w:pPr>
        <w:pStyle w:val="Prrafodelista"/>
        <w:rPr>
          <w:rFonts w:ascii="Tahoma" w:hAnsi="Tahoma" w:cs="Tahoma"/>
          <w:sz w:val="20"/>
        </w:rPr>
      </w:pPr>
    </w:p>
    <w:p w:rsidR="00182270" w:rsidRPr="00182270" w:rsidRDefault="00182270" w:rsidP="00182270">
      <w:pPr>
        <w:tabs>
          <w:tab w:val="num" w:pos="1276"/>
        </w:tabs>
        <w:ind w:left="1276" w:hanging="283"/>
        <w:jc w:val="both"/>
        <w:rPr>
          <w:rFonts w:ascii="Tahoma" w:hAnsi="Tahoma" w:cs="Tahoma"/>
          <w:sz w:val="20"/>
          <w:szCs w:val="20"/>
        </w:rPr>
      </w:pPr>
      <w:r w:rsidRPr="00182270">
        <w:rPr>
          <w:rFonts w:ascii="Tahoma" w:hAnsi="Tahoma" w:cs="Tahoma"/>
          <w:sz w:val="20"/>
          <w:szCs w:val="20"/>
        </w:rPr>
        <w:t>B) Certificado Médico Nº 39589 de fecha 23 marzo de 2008, fecha en la que sufrió una recaída.</w:t>
      </w:r>
    </w:p>
    <w:p w:rsidR="00182270" w:rsidRPr="00182270" w:rsidRDefault="00182270" w:rsidP="00182270">
      <w:pPr>
        <w:tabs>
          <w:tab w:val="num" w:pos="1035"/>
        </w:tabs>
        <w:ind w:left="540"/>
        <w:jc w:val="both"/>
        <w:rPr>
          <w:rFonts w:ascii="Tahoma" w:hAnsi="Tahoma" w:cs="Tahoma"/>
          <w:sz w:val="20"/>
          <w:szCs w:val="20"/>
        </w:rPr>
      </w:pPr>
    </w:p>
    <w:p w:rsidR="00182270" w:rsidRPr="00182270" w:rsidRDefault="00182270" w:rsidP="00182270">
      <w:pPr>
        <w:tabs>
          <w:tab w:val="num" w:pos="1035"/>
        </w:tabs>
        <w:ind w:left="1276" w:hanging="736"/>
        <w:jc w:val="both"/>
        <w:rPr>
          <w:rFonts w:ascii="Tahoma" w:hAnsi="Tahoma" w:cs="Tahoma"/>
          <w:sz w:val="20"/>
          <w:szCs w:val="20"/>
        </w:rPr>
      </w:pPr>
      <w:r w:rsidRPr="00182270">
        <w:rPr>
          <w:rFonts w:ascii="Tahoma" w:hAnsi="Tahoma" w:cs="Tahoma"/>
          <w:sz w:val="20"/>
          <w:szCs w:val="20"/>
        </w:rPr>
        <w:tab/>
        <w:t>C) Una orden de entrega de medicamentos de la Clínica Jesús del Norte de fecha 29/07/2008 y su respectiva boleta de venta.</w:t>
      </w:r>
    </w:p>
    <w:p w:rsidR="00182270" w:rsidRPr="00182270" w:rsidRDefault="00182270" w:rsidP="00182270">
      <w:pPr>
        <w:pStyle w:val="Prrafodelista"/>
        <w:rPr>
          <w:rFonts w:ascii="Tahoma" w:hAnsi="Tahoma" w:cs="Tahoma"/>
          <w:sz w:val="20"/>
        </w:rPr>
      </w:pPr>
    </w:p>
    <w:p w:rsidR="00182270" w:rsidRPr="00182270" w:rsidRDefault="00182270" w:rsidP="00182270">
      <w:pPr>
        <w:numPr>
          <w:ilvl w:val="0"/>
          <w:numId w:val="2"/>
        </w:numPr>
        <w:tabs>
          <w:tab w:val="clear" w:pos="340"/>
          <w:tab w:val="num" w:pos="540"/>
          <w:tab w:val="num" w:pos="1035"/>
        </w:tabs>
        <w:ind w:left="540" w:hanging="540"/>
        <w:jc w:val="both"/>
        <w:rPr>
          <w:rFonts w:ascii="Tahoma" w:hAnsi="Tahoma" w:cs="Tahoma"/>
          <w:sz w:val="20"/>
          <w:szCs w:val="20"/>
        </w:rPr>
      </w:pPr>
      <w:r w:rsidRPr="00182270">
        <w:rPr>
          <w:rFonts w:ascii="Tahoma" w:hAnsi="Tahoma" w:cs="Tahoma"/>
          <w:sz w:val="20"/>
          <w:szCs w:val="20"/>
        </w:rPr>
        <w:t>Mediante decreto del 16 de setiembre de 2008 se hizo efectivo el apercibimiento decretado de resolver el procedimiento remitiéndose el expediente a la Tercera Sala del Tribunal. Sin embargo, mediante decreto del 18 de noviembre de 2009, vista la Resolución Nº 256-2009-OSCE/PRE de fecha 07 de julio de 2009 que designó a la Primera Sala del Tribunal de Contrataciones del Estado como competente para conocer los procedimientos administrativos sancionadores a partir del 13 de julio de 2009, en consecuencia, se remitió el expediente Nº 1227-2008-TC  a la Primera Sala del Tribunal a fin de continuar el procedimiento según su estado.</w:t>
      </w:r>
    </w:p>
    <w:p w:rsidR="00182270" w:rsidRPr="00182270" w:rsidRDefault="00182270" w:rsidP="00182270">
      <w:pPr>
        <w:tabs>
          <w:tab w:val="num" w:pos="1035"/>
        </w:tabs>
        <w:ind w:left="540"/>
        <w:jc w:val="both"/>
        <w:rPr>
          <w:rFonts w:ascii="Tahoma" w:hAnsi="Tahoma" w:cs="Tahoma"/>
          <w:sz w:val="20"/>
          <w:szCs w:val="20"/>
        </w:rPr>
      </w:pPr>
    </w:p>
    <w:p w:rsidR="00182270" w:rsidRPr="00182270" w:rsidRDefault="00182270" w:rsidP="00182270">
      <w:pPr>
        <w:numPr>
          <w:ilvl w:val="0"/>
          <w:numId w:val="2"/>
        </w:numPr>
        <w:tabs>
          <w:tab w:val="clear" w:pos="340"/>
          <w:tab w:val="num" w:pos="540"/>
          <w:tab w:val="num" w:pos="1035"/>
        </w:tabs>
        <w:ind w:left="540" w:hanging="540"/>
        <w:jc w:val="both"/>
        <w:rPr>
          <w:rFonts w:ascii="Tahoma" w:hAnsi="Tahoma" w:cs="Tahoma"/>
          <w:sz w:val="20"/>
          <w:szCs w:val="20"/>
        </w:rPr>
      </w:pPr>
      <w:r w:rsidRPr="00182270">
        <w:rPr>
          <w:rFonts w:ascii="Tahoma" w:hAnsi="Tahoma" w:cs="Tahoma"/>
          <w:sz w:val="20"/>
          <w:szCs w:val="20"/>
        </w:rPr>
        <w:t>Mediante decreto del 18 de junio de 2010, se tuvo por apersonada a la señora Ninfa Ortiz de Ninanya y se remitió el expediente a la Primera Sala del Tribunal para que resuelva.</w:t>
      </w:r>
    </w:p>
    <w:p w:rsidR="00182270" w:rsidRPr="00182270" w:rsidRDefault="00182270" w:rsidP="00182270">
      <w:pPr>
        <w:pStyle w:val="Prrafodelista"/>
        <w:rPr>
          <w:rFonts w:ascii="Tahoma" w:hAnsi="Tahoma" w:cs="Tahoma"/>
          <w:sz w:val="20"/>
        </w:rPr>
      </w:pPr>
    </w:p>
    <w:p w:rsidR="00182270" w:rsidRPr="00182270" w:rsidRDefault="00182270" w:rsidP="00182270">
      <w:pPr>
        <w:numPr>
          <w:ilvl w:val="0"/>
          <w:numId w:val="2"/>
        </w:numPr>
        <w:tabs>
          <w:tab w:val="clear" w:pos="340"/>
          <w:tab w:val="num" w:pos="540"/>
          <w:tab w:val="num" w:pos="1035"/>
        </w:tabs>
        <w:ind w:left="540" w:hanging="540"/>
        <w:jc w:val="both"/>
        <w:rPr>
          <w:rFonts w:ascii="Tahoma" w:hAnsi="Tahoma" w:cs="Tahoma"/>
          <w:sz w:val="20"/>
          <w:szCs w:val="20"/>
        </w:rPr>
      </w:pPr>
      <w:r w:rsidRPr="00182270">
        <w:rPr>
          <w:rFonts w:ascii="Tahoma" w:hAnsi="Tahoma" w:cs="Tahoma"/>
          <w:sz w:val="20"/>
          <w:szCs w:val="20"/>
        </w:rPr>
        <w:t>Mediante decreto del 11 de febrero de 2011 se requirió a la Entidad copia de la carta dirigida al Postor debidamente recibida por ésta, mediante la cual le solicitó la carta de citación para la suscripción del contrato, en concordancia con el artículo 203 del Reglamento de la Ley de Contrataciones y Adquisiciones del Estado, aprobado por Decreto Supremo Nº 084-2004-PCM, norma vigente durante la ocurrencia de los hechos, otorgándosele un plazo de tres (03) días, bajo responsabilidad.</w:t>
      </w:r>
    </w:p>
    <w:p w:rsidR="00182270" w:rsidRPr="00182270" w:rsidRDefault="00182270" w:rsidP="00182270">
      <w:pPr>
        <w:contextualSpacing/>
        <w:jc w:val="both"/>
        <w:rPr>
          <w:rFonts w:ascii="Tahoma" w:hAnsi="Tahoma" w:cs="Tahoma"/>
          <w:sz w:val="20"/>
          <w:szCs w:val="20"/>
          <w:lang w:val="es-ES_tradnl"/>
        </w:rPr>
      </w:pPr>
    </w:p>
    <w:p w:rsidR="00182270" w:rsidRPr="00182270" w:rsidRDefault="00182270" w:rsidP="00182270">
      <w:pPr>
        <w:pStyle w:val="Prrafodelista"/>
        <w:widowControl/>
        <w:numPr>
          <w:ilvl w:val="0"/>
          <w:numId w:val="3"/>
        </w:numPr>
        <w:suppressAutoHyphens w:val="0"/>
        <w:ind w:left="567" w:hanging="567"/>
        <w:jc w:val="both"/>
        <w:rPr>
          <w:rFonts w:ascii="Tahoma" w:hAnsi="Tahoma" w:cs="Tahoma"/>
          <w:b/>
          <w:shadow/>
          <w:sz w:val="20"/>
        </w:rPr>
      </w:pPr>
      <w:r w:rsidRPr="00182270">
        <w:rPr>
          <w:rFonts w:ascii="Tahoma" w:hAnsi="Tahoma" w:cs="Tahoma"/>
          <w:b/>
          <w:sz w:val="20"/>
        </w:rPr>
        <w:t>FUNDAMENTACIÓN:</w:t>
      </w:r>
    </w:p>
    <w:p w:rsidR="00182270" w:rsidRPr="00182270" w:rsidRDefault="00182270" w:rsidP="00182270">
      <w:pPr>
        <w:jc w:val="both"/>
        <w:rPr>
          <w:rFonts w:ascii="Tahoma" w:hAnsi="Tahoma" w:cs="Tahoma"/>
          <w:sz w:val="20"/>
          <w:szCs w:val="20"/>
        </w:rPr>
      </w:pPr>
    </w:p>
    <w:p w:rsidR="00182270" w:rsidRPr="00182270" w:rsidRDefault="00182270" w:rsidP="00182270">
      <w:pPr>
        <w:pStyle w:val="Textoindependiente"/>
        <w:widowControl w:val="0"/>
        <w:numPr>
          <w:ilvl w:val="0"/>
          <w:numId w:val="11"/>
        </w:numPr>
        <w:tabs>
          <w:tab w:val="left" w:pos="2410"/>
        </w:tabs>
        <w:suppressAutoHyphens/>
        <w:spacing w:after="0"/>
        <w:ind w:left="567" w:hanging="567"/>
        <w:jc w:val="both"/>
        <w:rPr>
          <w:rFonts w:ascii="Tahoma" w:hAnsi="Tahoma" w:cs="Tahoma"/>
          <w:sz w:val="20"/>
          <w:szCs w:val="20"/>
          <w:lang w:val="es-PE"/>
        </w:rPr>
      </w:pPr>
      <w:r w:rsidRPr="00182270">
        <w:rPr>
          <w:rFonts w:ascii="Tahoma" w:hAnsi="Tahoma" w:cs="Tahoma"/>
          <w:sz w:val="20"/>
          <w:szCs w:val="20"/>
          <w:lang w:val="es-ES_tradnl"/>
        </w:rPr>
        <w:t xml:space="preserve">El presente proceso está referido </w:t>
      </w:r>
      <w:r w:rsidRPr="00182270">
        <w:rPr>
          <w:rFonts w:ascii="Tahoma" w:hAnsi="Tahoma" w:cs="Tahoma"/>
          <w:sz w:val="20"/>
          <w:szCs w:val="20"/>
        </w:rPr>
        <w:t>a la supuesta responsabilidad del Postor, por no haber suscrito contrato luego de que se le adjudicase la Buena Pro del proceso de selección de Adjudicación Directa Selectiva Nº 002-2008-INPE/20, para “Adquisición de raciones alimenticias para consumo de personas (internas y personal del INPE) del Establecimiento Penitenciario de Concepción y la Sede Regional de la Oficina Regional Centro Huancayo”; infracción tipificada en el numeral 1) del artículo 294 del Reglamento de la Ley de Contrataciones y Adquisiciones del Estado, aprobado por Decreto Supremo Nº 084-2004-PCM, en adelante, el Reglamento, norma vigente al momento de la producción de los hechos denunciados.</w:t>
      </w:r>
    </w:p>
    <w:p w:rsidR="00182270" w:rsidRPr="00182270" w:rsidRDefault="00182270" w:rsidP="00182270">
      <w:pPr>
        <w:pStyle w:val="Textoindependiente"/>
        <w:widowControl w:val="0"/>
        <w:tabs>
          <w:tab w:val="left" w:pos="2410"/>
        </w:tabs>
        <w:suppressAutoHyphens/>
        <w:spacing w:after="0"/>
        <w:ind w:left="567"/>
        <w:jc w:val="both"/>
        <w:rPr>
          <w:rFonts w:ascii="Tahoma" w:hAnsi="Tahoma" w:cs="Tahoma"/>
          <w:sz w:val="20"/>
          <w:szCs w:val="20"/>
          <w:lang w:val="es-PE"/>
        </w:rPr>
      </w:pPr>
    </w:p>
    <w:p w:rsidR="00182270" w:rsidRPr="00182270" w:rsidRDefault="00182270" w:rsidP="00182270">
      <w:pPr>
        <w:pStyle w:val="Textoindependiente"/>
        <w:widowControl w:val="0"/>
        <w:numPr>
          <w:ilvl w:val="0"/>
          <w:numId w:val="11"/>
        </w:numPr>
        <w:tabs>
          <w:tab w:val="left" w:pos="2410"/>
        </w:tabs>
        <w:suppressAutoHyphens/>
        <w:spacing w:after="0"/>
        <w:ind w:left="567" w:hanging="567"/>
        <w:jc w:val="both"/>
        <w:rPr>
          <w:rFonts w:ascii="Tahoma" w:hAnsi="Tahoma" w:cs="Tahoma"/>
          <w:sz w:val="20"/>
          <w:szCs w:val="20"/>
          <w:lang w:val="es-PE"/>
        </w:rPr>
      </w:pPr>
      <w:r w:rsidRPr="00182270">
        <w:rPr>
          <w:rFonts w:ascii="Tahoma" w:hAnsi="Tahoma" w:cs="Tahoma"/>
          <w:sz w:val="20"/>
          <w:szCs w:val="20"/>
          <w:lang w:val="es-PE"/>
        </w:rPr>
        <w:t>Al respecto</w:t>
      </w:r>
      <w:r w:rsidRPr="00182270">
        <w:rPr>
          <w:rFonts w:ascii="Tahoma" w:hAnsi="Tahoma" w:cs="Tahoma"/>
          <w:sz w:val="20"/>
          <w:szCs w:val="20"/>
          <w:lang w:val="es-ES_tradnl"/>
        </w:rPr>
        <w:t>, y como marco referencial, debemos tener presente que las normas antes citadas</w:t>
      </w:r>
      <w:r w:rsidRPr="00182270">
        <w:rPr>
          <w:rFonts w:ascii="Tahoma" w:hAnsi="Tahoma" w:cs="Tahoma"/>
          <w:sz w:val="20"/>
          <w:szCs w:val="20"/>
          <w:lang w:val="es-PE"/>
        </w:rPr>
        <w:t xml:space="preserve">, establecen que los proveedores, participantes, postores y/o contratistas incurrirán en infracción susceptible de sanción cuando no mantengan su oferta hasta el consentimiento de la Buena Pro o de resultar ganadores hasta la suscripción del contrato, no suscriban injustificadamente el contrato, o no reciban injustificadamente la orden de compra o de servicio emitida a su favor. </w:t>
      </w:r>
    </w:p>
    <w:p w:rsidR="00182270" w:rsidRPr="00182270" w:rsidRDefault="00182270" w:rsidP="00182270">
      <w:pPr>
        <w:pStyle w:val="Prrafodelista"/>
        <w:rPr>
          <w:rFonts w:ascii="Tahoma" w:hAnsi="Tahoma" w:cs="Tahoma"/>
          <w:sz w:val="20"/>
          <w:lang w:val="es-PE"/>
        </w:rPr>
      </w:pPr>
    </w:p>
    <w:p w:rsidR="00182270" w:rsidRPr="00182270" w:rsidRDefault="00182270" w:rsidP="00182270">
      <w:pPr>
        <w:pStyle w:val="Textoindependiente"/>
        <w:widowControl w:val="0"/>
        <w:numPr>
          <w:ilvl w:val="0"/>
          <w:numId w:val="11"/>
        </w:numPr>
        <w:tabs>
          <w:tab w:val="left" w:pos="2410"/>
        </w:tabs>
        <w:suppressAutoHyphens/>
        <w:spacing w:after="0"/>
        <w:ind w:left="567" w:hanging="567"/>
        <w:jc w:val="both"/>
        <w:rPr>
          <w:rFonts w:ascii="Tahoma" w:hAnsi="Tahoma" w:cs="Tahoma"/>
          <w:sz w:val="20"/>
          <w:szCs w:val="20"/>
          <w:lang w:val="es-PE"/>
        </w:rPr>
      </w:pPr>
      <w:r w:rsidRPr="00182270">
        <w:rPr>
          <w:rFonts w:ascii="Tahoma" w:hAnsi="Tahoma" w:cs="Tahoma"/>
          <w:sz w:val="20"/>
          <w:szCs w:val="20"/>
          <w:lang w:val="es-PE"/>
        </w:rPr>
        <w:t xml:space="preserve">En el presente caso, para la configuración de la infracción imputada contenida en la norma citada se requiere acreditar, tal como lo informó la Entidad, que efectivamente el Postor, injustificadamente, no cumplió con suscribir el contrato respectivo, teniendo en cuenta también el supuesto de que </w:t>
      </w:r>
      <w:r w:rsidRPr="00182270">
        <w:rPr>
          <w:rFonts w:ascii="Tahoma" w:hAnsi="Tahoma" w:cs="Tahoma"/>
          <w:sz w:val="20"/>
          <w:szCs w:val="20"/>
        </w:rPr>
        <w:t>la Entidad hubiese cumplido con el procedimiento y los plazos establecidos para la suscripción del mismo, regulados en el artículo 148 del Reglamento.</w:t>
      </w:r>
    </w:p>
    <w:p w:rsidR="00182270" w:rsidRPr="00182270" w:rsidRDefault="00182270" w:rsidP="00182270">
      <w:pPr>
        <w:pStyle w:val="Prrafodelista"/>
        <w:rPr>
          <w:rFonts w:ascii="Tahoma" w:hAnsi="Tahoma" w:cs="Tahoma"/>
          <w:sz w:val="20"/>
          <w:lang w:val="es-PE"/>
        </w:rPr>
      </w:pPr>
    </w:p>
    <w:p w:rsidR="00182270" w:rsidRPr="00182270" w:rsidRDefault="00182270" w:rsidP="00182270">
      <w:pPr>
        <w:pStyle w:val="Textoindependiente"/>
        <w:widowControl w:val="0"/>
        <w:numPr>
          <w:ilvl w:val="0"/>
          <w:numId w:val="11"/>
        </w:numPr>
        <w:tabs>
          <w:tab w:val="left" w:pos="2410"/>
        </w:tabs>
        <w:suppressAutoHyphens/>
        <w:spacing w:after="0"/>
        <w:ind w:left="567" w:hanging="567"/>
        <w:jc w:val="both"/>
        <w:rPr>
          <w:rFonts w:ascii="Tahoma" w:hAnsi="Tahoma" w:cs="Tahoma"/>
          <w:sz w:val="20"/>
          <w:szCs w:val="20"/>
          <w:lang w:val="es-PE"/>
        </w:rPr>
      </w:pPr>
      <w:r w:rsidRPr="00182270">
        <w:rPr>
          <w:rFonts w:ascii="Tahoma" w:hAnsi="Tahoma" w:cs="Tahoma"/>
          <w:sz w:val="20"/>
          <w:szCs w:val="20"/>
          <w:lang w:val="es-PE"/>
        </w:rPr>
        <w:t>Por lo tanto, a</w:t>
      </w:r>
      <w:r w:rsidRPr="00182270">
        <w:rPr>
          <w:rFonts w:ascii="Tahoma" w:hAnsi="Tahoma" w:cs="Tahoma"/>
          <w:sz w:val="20"/>
          <w:szCs w:val="20"/>
          <w:lang w:val="es-ES_tradnl"/>
        </w:rPr>
        <w:t xml:space="preserve"> fin de tener mayores elementos de juicio para resolver respecto del procedimiento administrativo sancionador, en el presente caso, se solicitó a la Entidad remita la carta de citación dirigida a la señora Ninfa Ortiz de Ninanya, a través del cual solicitó los documentos y le otorgó el plazo correspondiente a fin de suscribir dicho contrato en virtud del articulo </w:t>
      </w:r>
      <w:r w:rsidRPr="00182270">
        <w:rPr>
          <w:rFonts w:ascii="Tahoma" w:hAnsi="Tahoma" w:cs="Tahoma"/>
          <w:sz w:val="20"/>
          <w:szCs w:val="20"/>
        </w:rPr>
        <w:t>203 del Reglamento, puesto que obra en autos una carta de citación que de manera genérica indica lo siguiente:</w:t>
      </w:r>
    </w:p>
    <w:p w:rsidR="00182270" w:rsidRPr="00182270" w:rsidRDefault="00182270" w:rsidP="00182270">
      <w:pPr>
        <w:pStyle w:val="Prrafodelista"/>
        <w:rPr>
          <w:rFonts w:ascii="Tahoma" w:hAnsi="Tahoma" w:cs="Tahoma"/>
          <w:sz w:val="20"/>
        </w:rPr>
      </w:pPr>
    </w:p>
    <w:p w:rsidR="00182270" w:rsidRPr="00182270" w:rsidRDefault="00182270" w:rsidP="00182270">
      <w:pPr>
        <w:pStyle w:val="Textoindependiente"/>
        <w:widowControl w:val="0"/>
        <w:tabs>
          <w:tab w:val="left" w:pos="2410"/>
        </w:tabs>
        <w:suppressAutoHyphens/>
        <w:spacing w:after="0"/>
        <w:ind w:left="567"/>
        <w:jc w:val="both"/>
        <w:rPr>
          <w:rFonts w:ascii="Tahoma" w:hAnsi="Tahoma" w:cs="Tahoma"/>
          <w:i/>
          <w:sz w:val="20"/>
          <w:szCs w:val="20"/>
          <w:lang w:val="es-PE"/>
        </w:rPr>
      </w:pPr>
      <w:r w:rsidRPr="00182270">
        <w:rPr>
          <w:rFonts w:ascii="Tahoma" w:hAnsi="Tahoma" w:cs="Tahoma"/>
          <w:sz w:val="20"/>
          <w:szCs w:val="20"/>
          <w:lang w:val="es-PE"/>
        </w:rPr>
        <w:t>“</w:t>
      </w:r>
      <w:r w:rsidRPr="00182270">
        <w:rPr>
          <w:rFonts w:ascii="Tahoma" w:hAnsi="Tahoma" w:cs="Tahoma"/>
          <w:i/>
          <w:sz w:val="20"/>
          <w:szCs w:val="20"/>
          <w:lang w:val="es-PE"/>
        </w:rPr>
        <w:t>Me dirijo a Ustedes que en el proceso de ADS Nº 002-2008-INPE/20 sobre Adquisiciones de Raciones Alimenticias para consumo de personas (internas y personal INPE) del Establecimiento Penitenciario de Concepción y la Sede Regional de la Oficina Regional Centro Huancayo al ser único postor el día 14 de marzo de 2007 en Acto privado se le otorgó la Buena Pro.</w:t>
      </w:r>
    </w:p>
    <w:p w:rsidR="00182270" w:rsidRPr="00182270" w:rsidRDefault="00182270" w:rsidP="00182270">
      <w:pPr>
        <w:pStyle w:val="Prrafodelista"/>
        <w:rPr>
          <w:rFonts w:ascii="Tahoma" w:hAnsi="Tahoma" w:cs="Tahoma"/>
          <w:i/>
          <w:sz w:val="20"/>
          <w:lang w:val="es-PE"/>
        </w:rPr>
      </w:pPr>
    </w:p>
    <w:p w:rsidR="00182270" w:rsidRPr="00182270" w:rsidRDefault="00182270" w:rsidP="00182270">
      <w:pPr>
        <w:pStyle w:val="Textoindependiente"/>
        <w:widowControl w:val="0"/>
        <w:tabs>
          <w:tab w:val="left" w:pos="2410"/>
        </w:tabs>
        <w:suppressAutoHyphens/>
        <w:spacing w:after="0"/>
        <w:ind w:left="567"/>
        <w:jc w:val="both"/>
        <w:rPr>
          <w:rFonts w:ascii="Tahoma" w:hAnsi="Tahoma" w:cs="Tahoma"/>
          <w:i/>
          <w:sz w:val="20"/>
          <w:szCs w:val="20"/>
          <w:lang w:val="es-PE"/>
        </w:rPr>
      </w:pPr>
      <w:r w:rsidRPr="00182270">
        <w:rPr>
          <w:rFonts w:ascii="Tahoma" w:hAnsi="Tahoma" w:cs="Tahoma"/>
          <w:i/>
          <w:sz w:val="20"/>
          <w:szCs w:val="20"/>
          <w:lang w:val="es-PE"/>
        </w:rPr>
        <w:t>Por  consiguiente se le comunica el consentimiento de la Buena Pro, para lo cual deberá acercarse a la Oficina Regional Centro del INPE Huancayo para suscribir el contrato, dentro de los plazos establecidos por Ley,</w:t>
      </w:r>
    </w:p>
    <w:p w:rsidR="00182270" w:rsidRPr="00182270" w:rsidRDefault="00182270" w:rsidP="00182270">
      <w:pPr>
        <w:pStyle w:val="Prrafodelista"/>
        <w:rPr>
          <w:rFonts w:ascii="Tahoma" w:hAnsi="Tahoma" w:cs="Tahoma"/>
          <w:i/>
          <w:sz w:val="20"/>
          <w:lang w:val="es-PE"/>
        </w:rPr>
      </w:pPr>
      <w:r w:rsidRPr="00182270">
        <w:rPr>
          <w:rFonts w:ascii="Tahoma" w:hAnsi="Tahoma" w:cs="Tahoma"/>
          <w:i/>
          <w:sz w:val="20"/>
          <w:lang w:val="es-PE"/>
        </w:rPr>
        <w:tab/>
      </w:r>
      <w:r w:rsidRPr="00182270">
        <w:rPr>
          <w:rFonts w:ascii="Tahoma" w:hAnsi="Tahoma" w:cs="Tahoma"/>
          <w:i/>
          <w:sz w:val="20"/>
          <w:lang w:val="es-PE"/>
        </w:rPr>
        <w:tab/>
      </w:r>
      <w:r w:rsidRPr="00182270">
        <w:rPr>
          <w:rFonts w:ascii="Tahoma" w:hAnsi="Tahoma" w:cs="Tahoma"/>
          <w:i/>
          <w:sz w:val="20"/>
          <w:lang w:val="es-PE"/>
        </w:rPr>
        <w:tab/>
      </w:r>
    </w:p>
    <w:p w:rsidR="00182270" w:rsidRPr="00182270" w:rsidRDefault="00182270" w:rsidP="00182270">
      <w:pPr>
        <w:pStyle w:val="Prrafodelista"/>
        <w:rPr>
          <w:rFonts w:ascii="Tahoma" w:hAnsi="Tahoma" w:cs="Tahoma"/>
          <w:i/>
          <w:sz w:val="20"/>
          <w:lang w:val="es-PE"/>
        </w:rPr>
      </w:pPr>
      <w:r w:rsidRPr="00182270">
        <w:rPr>
          <w:rFonts w:ascii="Tahoma" w:hAnsi="Tahoma" w:cs="Tahoma"/>
          <w:i/>
          <w:sz w:val="20"/>
          <w:lang w:val="es-PE"/>
        </w:rPr>
        <w:tab/>
      </w:r>
      <w:r w:rsidRPr="00182270">
        <w:rPr>
          <w:rFonts w:ascii="Tahoma" w:hAnsi="Tahoma" w:cs="Tahoma"/>
          <w:i/>
          <w:sz w:val="20"/>
          <w:lang w:val="es-PE"/>
        </w:rPr>
        <w:tab/>
      </w:r>
      <w:r w:rsidRPr="00182270">
        <w:rPr>
          <w:rFonts w:ascii="Tahoma" w:hAnsi="Tahoma" w:cs="Tahoma"/>
          <w:i/>
          <w:sz w:val="20"/>
          <w:lang w:val="es-PE"/>
        </w:rPr>
        <w:tab/>
        <w:t xml:space="preserve">Lo que comunicó para conocimiento y fines pertinentes, </w:t>
      </w:r>
    </w:p>
    <w:p w:rsidR="00182270" w:rsidRPr="00182270" w:rsidRDefault="00182270" w:rsidP="00182270">
      <w:pPr>
        <w:pStyle w:val="Prrafodelista"/>
        <w:rPr>
          <w:rFonts w:ascii="Tahoma" w:hAnsi="Tahoma" w:cs="Tahoma"/>
          <w:i/>
          <w:sz w:val="20"/>
          <w:lang w:val="es-PE"/>
        </w:rPr>
      </w:pPr>
    </w:p>
    <w:p w:rsidR="00182270" w:rsidRPr="00182270" w:rsidRDefault="00182270" w:rsidP="00182270">
      <w:pPr>
        <w:pStyle w:val="Prrafodelista"/>
        <w:rPr>
          <w:rFonts w:ascii="Tahoma" w:hAnsi="Tahoma" w:cs="Tahoma"/>
          <w:b/>
          <w:i/>
          <w:sz w:val="20"/>
          <w:lang w:val="es-PE"/>
        </w:rPr>
      </w:pPr>
      <w:r w:rsidRPr="00182270">
        <w:rPr>
          <w:rFonts w:ascii="Tahoma" w:hAnsi="Tahoma" w:cs="Tahoma"/>
          <w:i/>
          <w:sz w:val="20"/>
          <w:lang w:val="es-PE"/>
        </w:rPr>
        <w:tab/>
      </w:r>
      <w:r w:rsidRPr="00182270">
        <w:rPr>
          <w:rFonts w:ascii="Tahoma" w:hAnsi="Tahoma" w:cs="Tahoma"/>
          <w:i/>
          <w:sz w:val="20"/>
          <w:lang w:val="es-PE"/>
        </w:rPr>
        <w:tab/>
      </w:r>
      <w:r w:rsidRPr="00182270">
        <w:rPr>
          <w:rFonts w:ascii="Tahoma" w:hAnsi="Tahoma" w:cs="Tahoma"/>
          <w:i/>
          <w:sz w:val="20"/>
          <w:lang w:val="es-PE"/>
        </w:rPr>
        <w:tab/>
      </w:r>
      <w:r w:rsidRPr="00182270">
        <w:rPr>
          <w:rFonts w:ascii="Tahoma" w:hAnsi="Tahoma" w:cs="Tahoma"/>
          <w:i/>
          <w:sz w:val="20"/>
          <w:lang w:val="es-PE"/>
        </w:rPr>
        <w:tab/>
      </w:r>
      <w:r w:rsidRPr="00182270">
        <w:rPr>
          <w:rFonts w:ascii="Tahoma" w:hAnsi="Tahoma" w:cs="Tahoma"/>
          <w:i/>
          <w:sz w:val="20"/>
          <w:lang w:val="es-PE"/>
        </w:rPr>
        <w:tab/>
      </w:r>
      <w:r w:rsidRPr="00182270">
        <w:rPr>
          <w:rFonts w:ascii="Tahoma" w:hAnsi="Tahoma" w:cs="Tahoma"/>
          <w:i/>
          <w:sz w:val="20"/>
          <w:lang w:val="es-PE"/>
        </w:rPr>
        <w:tab/>
      </w:r>
      <w:r w:rsidRPr="00182270">
        <w:rPr>
          <w:rFonts w:ascii="Tahoma" w:hAnsi="Tahoma" w:cs="Tahoma"/>
          <w:i/>
          <w:sz w:val="20"/>
          <w:lang w:val="es-PE"/>
        </w:rPr>
        <w:tab/>
      </w:r>
      <w:r w:rsidRPr="00182270">
        <w:rPr>
          <w:rFonts w:ascii="Tahoma" w:hAnsi="Tahoma" w:cs="Tahoma"/>
          <w:b/>
          <w:i/>
          <w:sz w:val="20"/>
          <w:lang w:val="es-PE"/>
        </w:rPr>
        <w:t>Atentamente</w:t>
      </w:r>
    </w:p>
    <w:p w:rsidR="00182270" w:rsidRPr="00182270" w:rsidRDefault="00182270" w:rsidP="00182270">
      <w:pPr>
        <w:pStyle w:val="Prrafodelista"/>
        <w:rPr>
          <w:rFonts w:ascii="Tahoma" w:hAnsi="Tahoma" w:cs="Tahoma"/>
          <w:b/>
          <w:i/>
          <w:sz w:val="20"/>
          <w:lang w:val="es-PE"/>
        </w:rPr>
      </w:pPr>
    </w:p>
    <w:p w:rsidR="00182270" w:rsidRPr="00182270" w:rsidRDefault="00182270" w:rsidP="00182270">
      <w:pPr>
        <w:pStyle w:val="Prrafodelista"/>
        <w:rPr>
          <w:rFonts w:ascii="Tahoma" w:hAnsi="Tahoma" w:cs="Tahoma"/>
          <w:b/>
          <w:i/>
          <w:sz w:val="20"/>
          <w:lang w:val="es-PE"/>
        </w:rPr>
      </w:pPr>
      <w:r w:rsidRPr="00182270">
        <w:rPr>
          <w:rFonts w:ascii="Tahoma" w:hAnsi="Tahoma" w:cs="Tahoma"/>
          <w:b/>
          <w:i/>
          <w:sz w:val="20"/>
          <w:lang w:val="es-PE"/>
        </w:rPr>
        <w:tab/>
      </w:r>
      <w:r w:rsidRPr="00182270">
        <w:rPr>
          <w:rFonts w:ascii="Tahoma" w:hAnsi="Tahoma" w:cs="Tahoma"/>
          <w:b/>
          <w:i/>
          <w:sz w:val="20"/>
          <w:lang w:val="es-PE"/>
        </w:rPr>
        <w:tab/>
      </w:r>
      <w:r w:rsidRPr="00182270">
        <w:rPr>
          <w:rFonts w:ascii="Tahoma" w:hAnsi="Tahoma" w:cs="Tahoma"/>
          <w:b/>
          <w:i/>
          <w:sz w:val="20"/>
          <w:lang w:val="es-PE"/>
        </w:rPr>
        <w:tab/>
      </w:r>
      <w:r w:rsidRPr="00182270">
        <w:rPr>
          <w:rFonts w:ascii="Tahoma" w:hAnsi="Tahoma" w:cs="Tahoma"/>
          <w:b/>
          <w:i/>
          <w:sz w:val="20"/>
          <w:lang w:val="es-PE"/>
        </w:rPr>
        <w:tab/>
      </w:r>
      <w:r w:rsidRPr="00182270">
        <w:rPr>
          <w:rFonts w:ascii="Tahoma" w:hAnsi="Tahoma" w:cs="Tahoma"/>
          <w:b/>
          <w:i/>
          <w:sz w:val="20"/>
          <w:lang w:val="es-PE"/>
        </w:rPr>
        <w:tab/>
      </w:r>
      <w:r w:rsidRPr="00182270">
        <w:rPr>
          <w:rFonts w:ascii="Tahoma" w:hAnsi="Tahoma" w:cs="Tahoma"/>
          <w:b/>
          <w:i/>
          <w:sz w:val="20"/>
          <w:lang w:val="es-PE"/>
        </w:rPr>
        <w:tab/>
      </w:r>
      <w:r w:rsidRPr="00182270">
        <w:rPr>
          <w:rFonts w:ascii="Tahoma" w:hAnsi="Tahoma" w:cs="Tahoma"/>
          <w:b/>
          <w:i/>
          <w:sz w:val="20"/>
          <w:lang w:val="es-PE"/>
        </w:rPr>
        <w:tab/>
        <w:t>Maldonado Ríos Johnny</w:t>
      </w:r>
    </w:p>
    <w:p w:rsidR="00182270" w:rsidRPr="00182270" w:rsidRDefault="00182270" w:rsidP="00182270">
      <w:pPr>
        <w:pStyle w:val="Prrafodelista"/>
        <w:ind w:left="5664" w:firstLine="3"/>
        <w:rPr>
          <w:rFonts w:ascii="Tahoma" w:hAnsi="Tahoma" w:cs="Tahoma"/>
          <w:b/>
          <w:i/>
          <w:sz w:val="20"/>
          <w:lang w:val="es-PE"/>
        </w:rPr>
      </w:pPr>
      <w:r w:rsidRPr="00182270">
        <w:rPr>
          <w:rFonts w:ascii="Tahoma" w:hAnsi="Tahoma" w:cs="Tahoma"/>
          <w:b/>
          <w:i/>
          <w:sz w:val="20"/>
          <w:lang w:val="es-PE"/>
        </w:rPr>
        <w:t>Presidente del Comité Especial ADS Nº 002-2008-INPE/20”</w:t>
      </w:r>
    </w:p>
    <w:p w:rsidR="00182270" w:rsidRPr="00182270" w:rsidRDefault="00182270" w:rsidP="00182270">
      <w:pPr>
        <w:pStyle w:val="Textoindependiente"/>
        <w:widowControl w:val="0"/>
        <w:tabs>
          <w:tab w:val="left" w:pos="2410"/>
        </w:tabs>
        <w:suppressAutoHyphens/>
        <w:spacing w:after="0"/>
        <w:ind w:left="567"/>
        <w:jc w:val="both"/>
        <w:rPr>
          <w:rFonts w:ascii="Tahoma" w:hAnsi="Tahoma" w:cs="Tahoma"/>
          <w:sz w:val="20"/>
          <w:szCs w:val="20"/>
          <w:lang w:val="es-PE"/>
        </w:rPr>
      </w:pPr>
    </w:p>
    <w:p w:rsidR="00182270" w:rsidRPr="00182270" w:rsidRDefault="00182270" w:rsidP="00182270">
      <w:pPr>
        <w:pStyle w:val="Textoindependiente"/>
        <w:widowControl w:val="0"/>
        <w:numPr>
          <w:ilvl w:val="0"/>
          <w:numId w:val="11"/>
        </w:numPr>
        <w:tabs>
          <w:tab w:val="left" w:pos="2410"/>
        </w:tabs>
        <w:suppressAutoHyphens/>
        <w:spacing w:after="0"/>
        <w:ind w:left="567" w:hanging="567"/>
        <w:jc w:val="both"/>
        <w:rPr>
          <w:rFonts w:ascii="Tahoma" w:hAnsi="Tahoma" w:cs="Tahoma"/>
          <w:sz w:val="20"/>
          <w:szCs w:val="20"/>
          <w:lang w:val="es-PE"/>
        </w:rPr>
      </w:pPr>
      <w:r w:rsidRPr="00182270">
        <w:rPr>
          <w:rFonts w:ascii="Tahoma" w:hAnsi="Tahoma" w:cs="Tahoma"/>
          <w:sz w:val="20"/>
          <w:szCs w:val="20"/>
          <w:lang w:val="es-MX"/>
        </w:rPr>
        <w:t>Conforme a los criterios utilizados por el Tribunal en anteriores oportunidades</w:t>
      </w:r>
      <w:r w:rsidRPr="00182270">
        <w:rPr>
          <w:rStyle w:val="Refdenotaalpie"/>
          <w:rFonts w:ascii="Tahoma" w:hAnsi="Tahoma" w:cs="Tahoma"/>
          <w:sz w:val="20"/>
          <w:szCs w:val="20"/>
          <w:lang w:val="es-MX"/>
        </w:rPr>
        <w:footnoteReference w:id="2"/>
      </w:r>
      <w:r w:rsidRPr="00182270">
        <w:rPr>
          <w:rFonts w:ascii="Tahoma" w:hAnsi="Tahoma" w:cs="Tahoma"/>
          <w:sz w:val="20"/>
          <w:szCs w:val="20"/>
          <w:lang w:val="es-MX"/>
        </w:rPr>
        <w:t xml:space="preserve">, para que </w:t>
      </w:r>
      <w:r w:rsidRPr="00182270">
        <w:rPr>
          <w:rFonts w:ascii="Tahoma" w:hAnsi="Tahoma" w:cs="Tahoma"/>
          <w:sz w:val="20"/>
          <w:szCs w:val="20"/>
        </w:rPr>
        <w:t xml:space="preserve">dicha infracción se configure debe acreditarse que la Entidad haya cumplido con el procedimiento y los plazos establecidos para la suscripción del contrato, regulados en el artículo 203 del Reglamento, es por ello que la información solicitada a la Entidad a fin que cumpla con remitir la Carta de citación y verificar si la anteriormente descrita es la </w:t>
      </w:r>
      <w:r w:rsidRPr="00182270">
        <w:rPr>
          <w:rFonts w:ascii="Tahoma" w:hAnsi="Tahoma" w:cs="Tahoma"/>
          <w:sz w:val="20"/>
          <w:szCs w:val="20"/>
        </w:rPr>
        <w:lastRenderedPageBreak/>
        <w:t>correspondiente, era indispensable a fin de tener mayores elementos de juicio para resolver el presente procedimiento, sin embargo, la Entidad a la fecha del presente informe no ha cumplido con remitir lo solicitado.</w:t>
      </w:r>
    </w:p>
    <w:p w:rsidR="00182270" w:rsidRPr="00182270" w:rsidRDefault="00182270" w:rsidP="00182270">
      <w:pPr>
        <w:pStyle w:val="Textoindependiente"/>
        <w:widowControl w:val="0"/>
        <w:tabs>
          <w:tab w:val="left" w:pos="2410"/>
        </w:tabs>
        <w:suppressAutoHyphens/>
        <w:spacing w:after="0"/>
        <w:ind w:left="567"/>
        <w:jc w:val="both"/>
        <w:rPr>
          <w:rFonts w:ascii="Tahoma" w:hAnsi="Tahoma" w:cs="Tahoma"/>
          <w:sz w:val="20"/>
          <w:szCs w:val="20"/>
          <w:lang w:val="es-PE"/>
        </w:rPr>
      </w:pPr>
    </w:p>
    <w:p w:rsidR="00182270" w:rsidRPr="00182270" w:rsidRDefault="00182270" w:rsidP="00182270">
      <w:pPr>
        <w:pStyle w:val="Textoindependiente"/>
        <w:widowControl w:val="0"/>
        <w:numPr>
          <w:ilvl w:val="0"/>
          <w:numId w:val="11"/>
        </w:numPr>
        <w:tabs>
          <w:tab w:val="left" w:pos="2410"/>
        </w:tabs>
        <w:suppressAutoHyphens/>
        <w:spacing w:after="0"/>
        <w:ind w:left="567" w:hanging="567"/>
        <w:jc w:val="both"/>
        <w:rPr>
          <w:rFonts w:ascii="Tahoma" w:hAnsi="Tahoma" w:cs="Tahoma"/>
          <w:sz w:val="20"/>
          <w:szCs w:val="20"/>
          <w:lang w:val="es-PE"/>
        </w:rPr>
      </w:pPr>
      <w:r w:rsidRPr="00182270">
        <w:rPr>
          <w:rFonts w:ascii="Tahoma" w:hAnsi="Tahoma" w:cs="Tahoma"/>
          <w:color w:val="000000" w:themeColor="text1"/>
          <w:sz w:val="20"/>
          <w:szCs w:val="20"/>
        </w:rPr>
        <w:t>Al respecto, el numeral 1 del artículo 203 del Reglamento prescribe que dentro de los dos (2) días hábiles siguientes al consentimiento de la buena pro, la Entidad deberá citar al postor ganador, a quien deberá otorgarle un plazo mínimo de cinco (5) y máximo de diez (10) días hábiles, dentro del cual deberá presentarse a suscribir el contrato con toda la documentación requerida.</w:t>
      </w:r>
    </w:p>
    <w:p w:rsidR="00182270" w:rsidRPr="00182270" w:rsidRDefault="00182270" w:rsidP="00182270">
      <w:pPr>
        <w:pStyle w:val="Prrafodelista"/>
        <w:rPr>
          <w:rFonts w:ascii="Tahoma" w:hAnsi="Tahoma" w:cs="Tahoma"/>
          <w:sz w:val="20"/>
        </w:rPr>
      </w:pPr>
    </w:p>
    <w:p w:rsidR="00182270" w:rsidRPr="00182270" w:rsidRDefault="00182270" w:rsidP="00182270">
      <w:pPr>
        <w:pStyle w:val="Textoindependiente"/>
        <w:widowControl w:val="0"/>
        <w:numPr>
          <w:ilvl w:val="0"/>
          <w:numId w:val="11"/>
        </w:numPr>
        <w:tabs>
          <w:tab w:val="left" w:pos="2410"/>
        </w:tabs>
        <w:suppressAutoHyphens/>
        <w:spacing w:after="0"/>
        <w:ind w:left="567" w:hanging="567"/>
        <w:jc w:val="both"/>
        <w:rPr>
          <w:rFonts w:ascii="Tahoma" w:hAnsi="Tahoma" w:cs="Tahoma"/>
          <w:sz w:val="20"/>
          <w:szCs w:val="20"/>
          <w:lang w:val="es-PE"/>
        </w:rPr>
      </w:pPr>
      <w:r w:rsidRPr="00182270">
        <w:rPr>
          <w:rFonts w:ascii="Tahoma" w:hAnsi="Tahoma" w:cs="Tahoma"/>
          <w:sz w:val="20"/>
          <w:szCs w:val="20"/>
        </w:rPr>
        <w:t>Antes bien, de la revisión del documento mediante el cual se citó al Postor a la suscripción del contrato</w:t>
      </w:r>
      <w:r w:rsidRPr="00182270">
        <w:rPr>
          <w:rFonts w:ascii="Tahoma" w:hAnsi="Tahoma" w:cs="Tahoma"/>
          <w:sz w:val="20"/>
          <w:szCs w:val="20"/>
          <w:lang w:val="es-PE"/>
        </w:rPr>
        <w:t>,</w:t>
      </w:r>
      <w:r w:rsidRPr="00182270">
        <w:rPr>
          <w:rFonts w:ascii="Tahoma" w:hAnsi="Tahoma" w:cs="Tahoma"/>
          <w:sz w:val="20"/>
          <w:szCs w:val="20"/>
        </w:rPr>
        <w:t xml:space="preserve"> este Colegiado ha podido advertir que el suscriptor de dicho documento es el Presidente del Comité Especial- lo cual se constata </w:t>
      </w:r>
      <w:r w:rsidRPr="00182270">
        <w:rPr>
          <w:rFonts w:ascii="Tahoma" w:hAnsi="Tahoma" w:cs="Tahoma"/>
          <w:sz w:val="20"/>
          <w:szCs w:val="20"/>
          <w:lang w:val="es-PE"/>
        </w:rPr>
        <w:t xml:space="preserve">del Acta de reunión para la evaluación de propuestas técnicas y económicas y otorgamiento de la Buena Pro del Proceso de Selección de </w:t>
      </w:r>
      <w:r w:rsidRPr="00182270">
        <w:rPr>
          <w:rFonts w:ascii="Tahoma" w:hAnsi="Tahoma" w:cs="Tahoma"/>
          <w:sz w:val="20"/>
          <w:szCs w:val="20"/>
        </w:rPr>
        <w:t xml:space="preserve">ADS N° 002-2008-INPE/20, registrado en el SEACE por la Entidad- no obstante que de conformidad con el artículo 45 del Reglamento, el Comité Especial se encuentra encargado exclusivamente de la conducción del proceso de selección y cuya función o labores se inician con la elaboración de las Bases, hasta que el otorgamiento de la Buena Pro quede consentido, administrativamente firme o se produzca la cancelación.  Esto es, </w:t>
      </w:r>
      <w:r w:rsidRPr="00182270">
        <w:rPr>
          <w:rFonts w:ascii="Tahoma" w:hAnsi="Tahoma" w:cs="Tahoma"/>
          <w:sz w:val="20"/>
          <w:szCs w:val="20"/>
          <w:u w:val="single"/>
        </w:rPr>
        <w:t>el Comité Especial no tiene competencia para realizar actos posteriores a cualquiera de las situaciones antes descritas</w:t>
      </w:r>
      <w:r w:rsidRPr="00182270">
        <w:rPr>
          <w:rFonts w:ascii="Tahoma" w:hAnsi="Tahoma" w:cs="Tahoma"/>
          <w:sz w:val="20"/>
          <w:szCs w:val="20"/>
        </w:rPr>
        <w:t>, pues exceden sus atribuciones, las mismas que han sido expresamente señaladas en la normativa de contrataciones del Estado.</w:t>
      </w:r>
    </w:p>
    <w:p w:rsidR="00182270" w:rsidRPr="00182270" w:rsidRDefault="00182270" w:rsidP="00182270">
      <w:pPr>
        <w:jc w:val="both"/>
        <w:rPr>
          <w:rFonts w:ascii="Tahoma" w:hAnsi="Tahoma" w:cs="Tahoma"/>
          <w:sz w:val="20"/>
          <w:szCs w:val="20"/>
        </w:rPr>
      </w:pPr>
    </w:p>
    <w:p w:rsidR="00182270" w:rsidRPr="00182270" w:rsidRDefault="00182270" w:rsidP="00182270">
      <w:pPr>
        <w:pStyle w:val="Prrafodelista"/>
        <w:ind w:left="567"/>
        <w:contextualSpacing/>
        <w:jc w:val="both"/>
        <w:rPr>
          <w:rFonts w:ascii="Tahoma" w:hAnsi="Tahoma" w:cs="Tahoma"/>
          <w:sz w:val="20"/>
        </w:rPr>
      </w:pPr>
      <w:r w:rsidRPr="00182270">
        <w:rPr>
          <w:rFonts w:ascii="Tahoma" w:hAnsi="Tahoma" w:cs="Tahoma"/>
          <w:sz w:val="20"/>
        </w:rPr>
        <w:t xml:space="preserve">Por las razones expuestas, en el presente caso se advierte que el </w:t>
      </w:r>
      <w:r w:rsidRPr="00182270">
        <w:rPr>
          <w:rFonts w:ascii="Tahoma" w:hAnsi="Tahoma" w:cs="Tahoma"/>
          <w:sz w:val="20"/>
          <w:u w:val="single"/>
        </w:rPr>
        <w:t>acto de citación para la suscripción del contrato fue realizado por un funcionario no competente para ello, motivo por el cual dicha citación carece de la validez necesaria para que surta los efectos legales respectivos</w:t>
      </w:r>
      <w:r w:rsidRPr="00182270">
        <w:rPr>
          <w:rFonts w:ascii="Tahoma" w:hAnsi="Tahoma" w:cs="Tahoma"/>
          <w:sz w:val="20"/>
        </w:rPr>
        <w:t>.</w:t>
      </w:r>
    </w:p>
    <w:p w:rsidR="00182270" w:rsidRPr="00182270" w:rsidRDefault="00182270" w:rsidP="00182270">
      <w:pPr>
        <w:pStyle w:val="Prrafodelista"/>
        <w:ind w:left="567"/>
        <w:contextualSpacing/>
        <w:jc w:val="both"/>
        <w:rPr>
          <w:rFonts w:ascii="Tahoma" w:hAnsi="Tahoma" w:cs="Tahoma"/>
          <w:sz w:val="20"/>
        </w:rPr>
      </w:pPr>
    </w:p>
    <w:p w:rsidR="00182270" w:rsidRPr="00182270" w:rsidRDefault="00182270" w:rsidP="00182270">
      <w:pPr>
        <w:pStyle w:val="Prrafodelista"/>
        <w:widowControl/>
        <w:numPr>
          <w:ilvl w:val="0"/>
          <w:numId w:val="11"/>
        </w:numPr>
        <w:suppressAutoHyphens w:val="0"/>
        <w:ind w:left="567" w:hanging="567"/>
        <w:contextualSpacing/>
        <w:jc w:val="both"/>
        <w:rPr>
          <w:rFonts w:ascii="Tahoma" w:hAnsi="Tahoma" w:cs="Tahoma"/>
          <w:sz w:val="20"/>
        </w:rPr>
      </w:pPr>
      <w:r w:rsidRPr="00182270">
        <w:rPr>
          <w:rFonts w:ascii="Tahoma" w:hAnsi="Tahoma" w:cs="Tahoma"/>
          <w:color w:val="000000" w:themeColor="text1"/>
          <w:sz w:val="20"/>
        </w:rPr>
        <w:t xml:space="preserve">De este modo, al haberse verificado que la Entidad no cumplió con el procedimiento establecido en la normativa para llevar a cabo dicha suscripción, según lo establecido por la Ley y el Reglamento al haber sido realizado por funcionario no competente dicha circunstancia acarrea la exención de responsabilidad del Postor. </w:t>
      </w:r>
    </w:p>
    <w:p w:rsidR="00182270" w:rsidRPr="00182270" w:rsidRDefault="00182270" w:rsidP="00182270">
      <w:pPr>
        <w:pStyle w:val="Prrafodelista"/>
        <w:ind w:left="567"/>
        <w:contextualSpacing/>
        <w:jc w:val="both"/>
        <w:rPr>
          <w:rFonts w:ascii="Tahoma" w:hAnsi="Tahoma" w:cs="Tahoma"/>
          <w:sz w:val="20"/>
        </w:rPr>
      </w:pPr>
    </w:p>
    <w:p w:rsidR="00182270" w:rsidRPr="00182270" w:rsidRDefault="00182270" w:rsidP="00182270">
      <w:pPr>
        <w:pStyle w:val="Prrafodelista"/>
        <w:widowControl/>
        <w:numPr>
          <w:ilvl w:val="0"/>
          <w:numId w:val="11"/>
        </w:numPr>
        <w:suppressAutoHyphens w:val="0"/>
        <w:ind w:left="567" w:hanging="567"/>
        <w:contextualSpacing/>
        <w:jc w:val="both"/>
        <w:rPr>
          <w:rFonts w:ascii="Tahoma" w:hAnsi="Tahoma" w:cs="Tahoma"/>
          <w:sz w:val="20"/>
        </w:rPr>
      </w:pPr>
      <w:r w:rsidRPr="00182270">
        <w:rPr>
          <w:rFonts w:ascii="Tahoma" w:hAnsi="Tahoma" w:cs="Tahoma"/>
          <w:color w:val="000000" w:themeColor="text1"/>
          <w:sz w:val="20"/>
          <w:lang w:eastAsia="es-PE"/>
        </w:rPr>
        <w:t>En consideración a lo señalado, este Colegiado es de la opinión de que no corresponde la aplicación de sanción.</w:t>
      </w:r>
    </w:p>
    <w:p w:rsidR="00182270" w:rsidRPr="00182270" w:rsidRDefault="00182270" w:rsidP="00182270">
      <w:pPr>
        <w:pStyle w:val="Prrafodelista"/>
        <w:rPr>
          <w:rFonts w:ascii="Tahoma" w:hAnsi="Tahoma" w:cs="Tahoma"/>
          <w:sz w:val="20"/>
        </w:rPr>
      </w:pPr>
    </w:p>
    <w:p w:rsidR="00182270" w:rsidRPr="00182270" w:rsidRDefault="00182270" w:rsidP="00182270">
      <w:pPr>
        <w:pStyle w:val="Prrafodelista"/>
        <w:widowControl/>
        <w:numPr>
          <w:ilvl w:val="0"/>
          <w:numId w:val="11"/>
        </w:numPr>
        <w:suppressAutoHyphens w:val="0"/>
        <w:ind w:left="567" w:hanging="567"/>
        <w:contextualSpacing/>
        <w:jc w:val="both"/>
        <w:rPr>
          <w:rFonts w:ascii="Tahoma" w:hAnsi="Tahoma" w:cs="Tahoma"/>
          <w:sz w:val="20"/>
        </w:rPr>
      </w:pPr>
      <w:r w:rsidRPr="00182270">
        <w:rPr>
          <w:rFonts w:ascii="Tahoma" w:hAnsi="Tahoma" w:cs="Tahoma"/>
          <w:sz w:val="20"/>
        </w:rPr>
        <w:t>Sin perjuicio de lo señalado, corresponde poner en conocimiento al Órgano de Control Institucional de la Entidad, la presente resolución, por el incumplimiento del procedimiento para la suscripción del contrato.</w:t>
      </w:r>
    </w:p>
    <w:p w:rsidR="00182270" w:rsidRPr="00182270" w:rsidRDefault="00182270" w:rsidP="00182270">
      <w:pPr>
        <w:pStyle w:val="Prrafodelista"/>
        <w:rPr>
          <w:rFonts w:ascii="Tahoma" w:hAnsi="Tahoma" w:cs="Tahoma"/>
          <w:sz w:val="20"/>
        </w:rPr>
      </w:pPr>
    </w:p>
    <w:p w:rsidR="00182270" w:rsidRPr="00182270" w:rsidRDefault="00182270" w:rsidP="00182270">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182270">
        <w:rPr>
          <w:rFonts w:ascii="Tahoma" w:eastAsiaTheme="minorHAnsi" w:hAnsi="Tahoma" w:cs="Tahoma"/>
          <w:color w:val="000000"/>
          <w:sz w:val="20"/>
          <w:szCs w:val="20"/>
          <w:lang w:eastAsia="en-US"/>
        </w:rPr>
        <w:tab/>
        <w:t xml:space="preserve">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w:t>
      </w:r>
      <w:r w:rsidRPr="00182270">
        <w:rPr>
          <w:rFonts w:ascii="Tahoma" w:eastAsiaTheme="minorHAnsi" w:hAnsi="Tahoma" w:cs="Tahoma"/>
          <w:color w:val="000000"/>
          <w:sz w:val="20"/>
          <w:szCs w:val="20"/>
          <w:lang w:eastAsia="en-US"/>
        </w:rPr>
        <w:lastRenderedPageBreak/>
        <w:t>por Decreto Supremo № 006-2009-EF, analizados los antecedentes y luego de agotado el debate correspondiente, por unanimidad</w:t>
      </w:r>
    </w:p>
    <w:p w:rsidR="00182270" w:rsidRPr="00182270" w:rsidRDefault="00182270" w:rsidP="00182270">
      <w:pPr>
        <w:jc w:val="both"/>
        <w:rPr>
          <w:rFonts w:ascii="Tahoma" w:hAnsi="Tahoma" w:cs="Tahoma"/>
          <w:sz w:val="20"/>
          <w:szCs w:val="20"/>
        </w:rPr>
      </w:pPr>
    </w:p>
    <w:p w:rsidR="00182270" w:rsidRPr="00182270" w:rsidRDefault="00182270" w:rsidP="00182270">
      <w:pPr>
        <w:ind w:firstLine="567"/>
        <w:jc w:val="both"/>
        <w:rPr>
          <w:rFonts w:ascii="Tahoma" w:hAnsi="Tahoma" w:cs="Tahoma"/>
          <w:b/>
          <w:sz w:val="20"/>
          <w:szCs w:val="20"/>
        </w:rPr>
      </w:pPr>
      <w:r w:rsidRPr="00182270">
        <w:rPr>
          <w:rFonts w:ascii="Tahoma" w:hAnsi="Tahoma" w:cs="Tahoma"/>
          <w:b/>
          <w:sz w:val="20"/>
          <w:szCs w:val="20"/>
        </w:rPr>
        <w:t xml:space="preserve">LA SALA RESUELVE: </w:t>
      </w:r>
    </w:p>
    <w:p w:rsidR="00182270" w:rsidRPr="00182270" w:rsidRDefault="00182270" w:rsidP="00182270">
      <w:pPr>
        <w:jc w:val="both"/>
        <w:rPr>
          <w:rFonts w:ascii="Tahoma" w:hAnsi="Tahoma" w:cs="Tahoma"/>
          <w:snapToGrid w:val="0"/>
          <w:sz w:val="20"/>
          <w:szCs w:val="20"/>
        </w:rPr>
      </w:pPr>
    </w:p>
    <w:p w:rsidR="00182270" w:rsidRPr="00182270" w:rsidRDefault="00182270" w:rsidP="00182270">
      <w:pPr>
        <w:pStyle w:val="Prrafodelista"/>
        <w:widowControl/>
        <w:numPr>
          <w:ilvl w:val="0"/>
          <w:numId w:val="12"/>
        </w:numPr>
        <w:tabs>
          <w:tab w:val="left" w:pos="0"/>
        </w:tabs>
        <w:suppressAutoHyphens w:val="0"/>
        <w:ind w:left="567" w:hanging="567"/>
        <w:jc w:val="both"/>
        <w:rPr>
          <w:rFonts w:ascii="Tahoma" w:hAnsi="Tahoma" w:cs="Tahoma"/>
          <w:sz w:val="20"/>
        </w:rPr>
      </w:pPr>
      <w:r w:rsidRPr="00182270">
        <w:rPr>
          <w:rFonts w:ascii="Tahoma" w:hAnsi="Tahoma" w:cs="Tahoma"/>
          <w:sz w:val="20"/>
        </w:rPr>
        <w:t xml:space="preserve">Declarar no ha lugar la imposición de sanción administrativa en contra </w:t>
      </w:r>
      <w:r w:rsidRPr="00182270">
        <w:rPr>
          <w:rFonts w:ascii="Tahoma" w:hAnsi="Tahoma" w:cs="Tahoma"/>
          <w:bCs/>
          <w:sz w:val="20"/>
        </w:rPr>
        <w:t xml:space="preserve">de Ninfa Ortiz de Ninanya </w:t>
      </w:r>
      <w:r w:rsidRPr="00182270">
        <w:rPr>
          <w:rFonts w:ascii="Tahoma" w:hAnsi="Tahoma" w:cs="Tahoma"/>
          <w:sz w:val="20"/>
        </w:rPr>
        <w:t>por los fundamentos expuestos, debiendo archivarse el presente procedimiento administrativo sancionador.</w:t>
      </w:r>
    </w:p>
    <w:p w:rsidR="00182270" w:rsidRPr="00182270" w:rsidRDefault="00182270" w:rsidP="00182270">
      <w:pPr>
        <w:pStyle w:val="Prrafodelista"/>
        <w:tabs>
          <w:tab w:val="left" w:pos="0"/>
        </w:tabs>
        <w:ind w:left="567"/>
        <w:jc w:val="both"/>
        <w:rPr>
          <w:rFonts w:ascii="Tahoma" w:hAnsi="Tahoma" w:cs="Tahoma"/>
          <w:sz w:val="20"/>
        </w:rPr>
      </w:pPr>
    </w:p>
    <w:p w:rsidR="00182270" w:rsidRPr="00182270" w:rsidRDefault="00182270" w:rsidP="00182270">
      <w:pPr>
        <w:pStyle w:val="Prrafodelista"/>
        <w:widowControl/>
        <w:numPr>
          <w:ilvl w:val="0"/>
          <w:numId w:val="12"/>
        </w:numPr>
        <w:tabs>
          <w:tab w:val="left" w:pos="0"/>
        </w:tabs>
        <w:suppressAutoHyphens w:val="0"/>
        <w:ind w:left="567" w:hanging="567"/>
        <w:jc w:val="both"/>
        <w:rPr>
          <w:rFonts w:ascii="Tahoma" w:hAnsi="Tahoma" w:cs="Tahoma"/>
          <w:sz w:val="20"/>
        </w:rPr>
      </w:pPr>
      <w:r w:rsidRPr="00182270">
        <w:rPr>
          <w:rFonts w:ascii="Tahoma" w:hAnsi="Tahoma" w:cs="Tahoma"/>
          <w:sz w:val="20"/>
        </w:rPr>
        <w:t>Poner en conocimiento al Órgano de Control Institucional de la Entidad, la presente resolución, para su conocimiento y fines pertinentes</w:t>
      </w:r>
    </w:p>
    <w:p w:rsidR="00182270" w:rsidRPr="00182270" w:rsidRDefault="00182270" w:rsidP="00182270">
      <w:pPr>
        <w:tabs>
          <w:tab w:val="left" w:pos="180"/>
          <w:tab w:val="left" w:pos="540"/>
        </w:tabs>
        <w:jc w:val="both"/>
        <w:rPr>
          <w:rFonts w:ascii="Tahoma" w:hAnsi="Tahoma" w:cs="Tahoma"/>
          <w:sz w:val="20"/>
          <w:szCs w:val="20"/>
          <w:lang w:val="es-ES_tradnl"/>
        </w:rPr>
      </w:pPr>
    </w:p>
    <w:p w:rsidR="00182270" w:rsidRPr="00182270" w:rsidRDefault="00182270" w:rsidP="00182270">
      <w:pPr>
        <w:pStyle w:val="Textoindependiente21"/>
        <w:ind w:firstLine="567"/>
        <w:rPr>
          <w:rFonts w:cs="Tahoma"/>
          <w:sz w:val="20"/>
        </w:rPr>
      </w:pPr>
      <w:r w:rsidRPr="00182270">
        <w:rPr>
          <w:rFonts w:cs="Tahoma"/>
          <w:sz w:val="20"/>
        </w:rPr>
        <w:t>Regístrese, comuníquese y publíquese.</w:t>
      </w:r>
    </w:p>
    <w:p w:rsidR="00182270" w:rsidRPr="00182270" w:rsidRDefault="00182270" w:rsidP="00182270">
      <w:pPr>
        <w:jc w:val="center"/>
        <w:rPr>
          <w:rFonts w:ascii="Tahoma" w:hAnsi="Tahoma" w:cs="Tahoma"/>
          <w:b/>
          <w:sz w:val="20"/>
          <w:szCs w:val="20"/>
        </w:rPr>
      </w:pPr>
    </w:p>
    <w:p w:rsidR="00182270" w:rsidRPr="00182270" w:rsidRDefault="00182270" w:rsidP="00182270">
      <w:pPr>
        <w:jc w:val="center"/>
        <w:rPr>
          <w:rFonts w:ascii="Tahoma" w:hAnsi="Tahoma" w:cs="Tahoma"/>
          <w:b/>
          <w:sz w:val="20"/>
          <w:szCs w:val="20"/>
        </w:rPr>
      </w:pPr>
    </w:p>
    <w:p w:rsidR="00182270" w:rsidRPr="00182270" w:rsidRDefault="00182270" w:rsidP="00182270">
      <w:pPr>
        <w:jc w:val="center"/>
        <w:rPr>
          <w:rFonts w:ascii="Tahoma" w:hAnsi="Tahoma" w:cs="Tahoma"/>
          <w:b/>
          <w:sz w:val="20"/>
          <w:szCs w:val="20"/>
        </w:rPr>
      </w:pPr>
    </w:p>
    <w:p w:rsidR="00182270" w:rsidRPr="00182270" w:rsidRDefault="00182270" w:rsidP="00182270">
      <w:pPr>
        <w:jc w:val="center"/>
        <w:rPr>
          <w:rFonts w:ascii="Tahoma" w:hAnsi="Tahoma" w:cs="Tahoma"/>
          <w:b/>
          <w:sz w:val="20"/>
          <w:szCs w:val="20"/>
        </w:rPr>
      </w:pPr>
    </w:p>
    <w:p w:rsidR="00182270" w:rsidRPr="00182270" w:rsidRDefault="00182270" w:rsidP="00182270">
      <w:pPr>
        <w:jc w:val="center"/>
        <w:rPr>
          <w:rFonts w:ascii="Tahoma" w:hAnsi="Tahoma" w:cs="Tahoma"/>
          <w:b/>
          <w:sz w:val="20"/>
          <w:szCs w:val="20"/>
        </w:rPr>
      </w:pPr>
    </w:p>
    <w:p w:rsidR="00182270" w:rsidRPr="00182270" w:rsidRDefault="00182270" w:rsidP="00182270">
      <w:pPr>
        <w:jc w:val="center"/>
        <w:rPr>
          <w:rFonts w:ascii="Tahoma" w:hAnsi="Tahoma" w:cs="Tahoma"/>
          <w:b/>
          <w:sz w:val="20"/>
          <w:szCs w:val="20"/>
        </w:rPr>
      </w:pPr>
    </w:p>
    <w:p w:rsidR="00182270" w:rsidRPr="00182270" w:rsidRDefault="00182270" w:rsidP="00182270">
      <w:pPr>
        <w:jc w:val="center"/>
        <w:rPr>
          <w:rFonts w:ascii="Tahoma" w:hAnsi="Tahoma" w:cs="Tahoma"/>
          <w:b/>
          <w:sz w:val="20"/>
          <w:szCs w:val="20"/>
        </w:rPr>
      </w:pPr>
    </w:p>
    <w:p w:rsidR="00182270" w:rsidRPr="00182270" w:rsidRDefault="00182270" w:rsidP="00182270">
      <w:pPr>
        <w:rPr>
          <w:rFonts w:ascii="Tahoma" w:hAnsi="Tahoma" w:cs="Tahoma"/>
          <w:b/>
          <w:sz w:val="20"/>
          <w:szCs w:val="20"/>
        </w:rPr>
      </w:pPr>
    </w:p>
    <w:p w:rsidR="00182270" w:rsidRPr="00182270" w:rsidRDefault="00182270" w:rsidP="00182270">
      <w:pPr>
        <w:jc w:val="center"/>
        <w:rPr>
          <w:rFonts w:ascii="Tahoma" w:hAnsi="Tahoma" w:cs="Tahoma"/>
          <w:b/>
          <w:sz w:val="20"/>
          <w:szCs w:val="20"/>
        </w:rPr>
      </w:pPr>
    </w:p>
    <w:p w:rsidR="00182270" w:rsidRPr="00182270" w:rsidRDefault="00182270" w:rsidP="00182270">
      <w:pPr>
        <w:jc w:val="center"/>
        <w:rPr>
          <w:rFonts w:ascii="Tahoma" w:hAnsi="Tahoma" w:cs="Tahoma"/>
          <w:b/>
          <w:shadow/>
          <w:sz w:val="20"/>
          <w:szCs w:val="20"/>
          <w:lang w:val="pt-BR"/>
        </w:rPr>
      </w:pPr>
      <w:r w:rsidRPr="00182270">
        <w:rPr>
          <w:rFonts w:ascii="Tahoma" w:hAnsi="Tahoma" w:cs="Tahoma"/>
          <w:b/>
          <w:shadow/>
          <w:sz w:val="20"/>
          <w:szCs w:val="20"/>
          <w:lang w:val="pt-BR"/>
        </w:rPr>
        <w:t>PRESIDENTE</w:t>
      </w:r>
    </w:p>
    <w:p w:rsidR="00182270" w:rsidRPr="00182270" w:rsidRDefault="00182270" w:rsidP="00182270">
      <w:pPr>
        <w:ind w:firstLine="708"/>
        <w:rPr>
          <w:rFonts w:ascii="Tahoma" w:hAnsi="Tahoma" w:cs="Tahoma"/>
          <w:b/>
          <w:shadow/>
          <w:sz w:val="20"/>
          <w:szCs w:val="20"/>
          <w:lang w:val="pt-BR"/>
        </w:rPr>
      </w:pPr>
    </w:p>
    <w:p w:rsidR="00182270" w:rsidRPr="00182270" w:rsidRDefault="00182270" w:rsidP="00182270">
      <w:pPr>
        <w:ind w:firstLine="708"/>
        <w:rPr>
          <w:rFonts w:ascii="Tahoma" w:hAnsi="Tahoma" w:cs="Tahoma"/>
          <w:b/>
          <w:shadow/>
          <w:sz w:val="20"/>
          <w:szCs w:val="20"/>
          <w:lang w:val="pt-BR"/>
        </w:rPr>
      </w:pPr>
      <w:r w:rsidRPr="00182270">
        <w:rPr>
          <w:rFonts w:ascii="Tahoma" w:hAnsi="Tahoma" w:cs="Tahoma"/>
          <w:b/>
          <w:shadow/>
          <w:sz w:val="20"/>
          <w:szCs w:val="20"/>
          <w:lang w:val="pt-BR"/>
        </w:rPr>
        <w:t xml:space="preserve">VOCAL           </w:t>
      </w:r>
      <w:r w:rsidRPr="00182270">
        <w:rPr>
          <w:rFonts w:ascii="Tahoma" w:hAnsi="Tahoma" w:cs="Tahoma"/>
          <w:b/>
          <w:shadow/>
          <w:sz w:val="20"/>
          <w:szCs w:val="20"/>
          <w:lang w:val="pt-BR"/>
        </w:rPr>
        <w:tab/>
      </w:r>
      <w:r w:rsidRPr="00182270">
        <w:rPr>
          <w:rFonts w:ascii="Tahoma" w:hAnsi="Tahoma" w:cs="Tahoma"/>
          <w:b/>
          <w:shadow/>
          <w:sz w:val="20"/>
          <w:szCs w:val="20"/>
          <w:lang w:val="pt-BR"/>
        </w:rPr>
        <w:tab/>
        <w:t xml:space="preserve">                                                                 VOCAL</w:t>
      </w:r>
    </w:p>
    <w:p w:rsidR="00182270" w:rsidRPr="00182270" w:rsidRDefault="00182270" w:rsidP="00182270">
      <w:pPr>
        <w:rPr>
          <w:rFonts w:ascii="Tahoma" w:hAnsi="Tahoma" w:cs="Tahoma"/>
          <w:sz w:val="20"/>
          <w:szCs w:val="20"/>
          <w:lang w:val="pt-BR"/>
        </w:rPr>
      </w:pPr>
    </w:p>
    <w:p w:rsidR="00182270" w:rsidRPr="00182270" w:rsidRDefault="00182270" w:rsidP="00182270">
      <w:pPr>
        <w:rPr>
          <w:rFonts w:ascii="Tahoma" w:hAnsi="Tahoma" w:cs="Tahoma"/>
          <w:sz w:val="20"/>
          <w:szCs w:val="20"/>
          <w:lang w:val="pt-BR"/>
        </w:rPr>
      </w:pPr>
    </w:p>
    <w:p w:rsidR="00182270" w:rsidRPr="00182270" w:rsidRDefault="00182270" w:rsidP="00182270">
      <w:pPr>
        <w:jc w:val="both"/>
        <w:rPr>
          <w:rFonts w:ascii="Tahoma" w:hAnsi="Tahoma" w:cs="Tahoma"/>
          <w:sz w:val="20"/>
          <w:szCs w:val="20"/>
          <w:lang w:val="pt-BR"/>
        </w:rPr>
      </w:pPr>
      <w:r w:rsidRPr="00182270">
        <w:rPr>
          <w:rFonts w:ascii="Tahoma" w:hAnsi="Tahoma" w:cs="Tahoma"/>
          <w:sz w:val="20"/>
          <w:szCs w:val="20"/>
          <w:lang w:val="pt-BR"/>
        </w:rPr>
        <w:t>ss.</w:t>
      </w:r>
    </w:p>
    <w:p w:rsidR="00182270" w:rsidRPr="00182270" w:rsidRDefault="00182270" w:rsidP="00182270">
      <w:pPr>
        <w:pStyle w:val="Textoindependiente21"/>
        <w:tabs>
          <w:tab w:val="left" w:pos="5250"/>
        </w:tabs>
        <w:rPr>
          <w:rFonts w:cs="Tahoma"/>
          <w:sz w:val="20"/>
          <w:lang w:val="pt-BR"/>
        </w:rPr>
      </w:pPr>
      <w:r w:rsidRPr="00182270">
        <w:rPr>
          <w:rFonts w:cs="Tahoma"/>
          <w:sz w:val="20"/>
          <w:lang w:val="pt-BR"/>
        </w:rPr>
        <w:t>Navas Rondón.</w:t>
      </w:r>
    </w:p>
    <w:p w:rsidR="00182270" w:rsidRPr="00182270" w:rsidRDefault="00182270" w:rsidP="00182270">
      <w:pPr>
        <w:pStyle w:val="Textoindependiente21"/>
        <w:tabs>
          <w:tab w:val="left" w:pos="5250"/>
        </w:tabs>
        <w:rPr>
          <w:rFonts w:cs="Tahoma"/>
          <w:sz w:val="20"/>
          <w:lang w:val="pt-BR"/>
        </w:rPr>
      </w:pPr>
      <w:r w:rsidRPr="00182270">
        <w:rPr>
          <w:rFonts w:cs="Tahoma"/>
          <w:sz w:val="20"/>
        </w:rPr>
        <w:t>Ramírez Maynetto.</w:t>
      </w:r>
    </w:p>
    <w:p w:rsidR="00182270" w:rsidRPr="00182270" w:rsidRDefault="00182270" w:rsidP="00182270">
      <w:pPr>
        <w:pStyle w:val="Textoindependiente21"/>
        <w:tabs>
          <w:tab w:val="left" w:pos="5250"/>
        </w:tabs>
        <w:rPr>
          <w:rFonts w:cs="Tahoma"/>
          <w:sz w:val="20"/>
          <w:lang w:val="pt-BR"/>
        </w:rPr>
      </w:pPr>
      <w:r w:rsidRPr="00182270">
        <w:rPr>
          <w:rFonts w:cs="Tahoma"/>
          <w:sz w:val="20"/>
          <w:lang w:val="pt-BR"/>
        </w:rPr>
        <w:t>Basulto Liewald.</w:t>
      </w:r>
    </w:p>
    <w:p w:rsidR="00182270" w:rsidRPr="00182270" w:rsidRDefault="00182270" w:rsidP="00182270">
      <w:pPr>
        <w:rPr>
          <w:rFonts w:ascii="Tahoma" w:hAnsi="Tahoma" w:cs="Tahoma"/>
          <w:sz w:val="20"/>
          <w:szCs w:val="20"/>
        </w:rPr>
      </w:pPr>
    </w:p>
    <w:p w:rsidR="001D5C36" w:rsidRPr="00182270" w:rsidRDefault="00FB205D">
      <w:pPr>
        <w:rPr>
          <w:rFonts w:ascii="Tahoma" w:hAnsi="Tahoma" w:cs="Tahoma"/>
          <w:sz w:val="20"/>
          <w:szCs w:val="20"/>
        </w:rPr>
      </w:pPr>
    </w:p>
    <w:p w:rsidR="00182270" w:rsidRPr="00182270" w:rsidRDefault="00182270">
      <w:pPr>
        <w:rPr>
          <w:rFonts w:ascii="Tahoma" w:hAnsi="Tahoma" w:cs="Tahoma"/>
          <w:sz w:val="20"/>
          <w:szCs w:val="20"/>
        </w:rPr>
      </w:pPr>
    </w:p>
    <w:sectPr w:rsidR="00182270" w:rsidRPr="00182270"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05D" w:rsidRDefault="00FB205D" w:rsidP="00182270">
      <w:r>
        <w:separator/>
      </w:r>
    </w:p>
  </w:endnote>
  <w:endnote w:type="continuationSeparator" w:id="1">
    <w:p w:rsidR="00FB205D" w:rsidRDefault="00FB205D" w:rsidP="001822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1F6BBF">
            <w:pPr>
              <w:pStyle w:val="Piedepgina"/>
              <w:jc w:val="center"/>
            </w:pPr>
            <w:r>
              <w:t xml:space="preserve">Página </w:t>
            </w:r>
            <w:r w:rsidR="008360FC">
              <w:rPr>
                <w:b/>
              </w:rPr>
              <w:fldChar w:fldCharType="begin"/>
            </w:r>
            <w:r>
              <w:rPr>
                <w:b/>
              </w:rPr>
              <w:instrText>PAGE</w:instrText>
            </w:r>
            <w:r w:rsidR="008360FC">
              <w:rPr>
                <w:b/>
              </w:rPr>
              <w:fldChar w:fldCharType="separate"/>
            </w:r>
            <w:r w:rsidR="005843EA">
              <w:rPr>
                <w:b/>
                <w:noProof/>
              </w:rPr>
              <w:t>1</w:t>
            </w:r>
            <w:r w:rsidR="008360FC">
              <w:rPr>
                <w:b/>
              </w:rPr>
              <w:fldChar w:fldCharType="end"/>
            </w:r>
            <w:r>
              <w:t xml:space="preserve"> de </w:t>
            </w:r>
            <w:r w:rsidR="008360FC">
              <w:rPr>
                <w:b/>
              </w:rPr>
              <w:fldChar w:fldCharType="begin"/>
            </w:r>
            <w:r>
              <w:rPr>
                <w:b/>
              </w:rPr>
              <w:instrText>NUMPAGES</w:instrText>
            </w:r>
            <w:r w:rsidR="008360FC">
              <w:rPr>
                <w:b/>
              </w:rPr>
              <w:fldChar w:fldCharType="separate"/>
            </w:r>
            <w:r w:rsidR="005843EA">
              <w:rPr>
                <w:b/>
                <w:noProof/>
              </w:rPr>
              <w:t>5</w:t>
            </w:r>
            <w:r w:rsidR="008360FC">
              <w:rPr>
                <w:b/>
              </w:rPr>
              <w:fldChar w:fldCharType="end"/>
            </w:r>
          </w:p>
        </w:sdtContent>
      </w:sdt>
    </w:sdtContent>
  </w:sdt>
  <w:p w:rsidR="0035353E" w:rsidRDefault="00FB205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05D" w:rsidRDefault="00FB205D" w:rsidP="00182270">
      <w:r>
        <w:separator/>
      </w:r>
    </w:p>
  </w:footnote>
  <w:footnote w:type="continuationSeparator" w:id="1">
    <w:p w:rsidR="00FB205D" w:rsidRDefault="00FB205D" w:rsidP="00182270">
      <w:r>
        <w:continuationSeparator/>
      </w:r>
    </w:p>
  </w:footnote>
  <w:footnote w:id="2">
    <w:p w:rsidR="00182270" w:rsidRDefault="00182270" w:rsidP="00182270">
      <w:pPr>
        <w:pStyle w:val="Textonotapie"/>
        <w:ind w:left="154" w:hanging="140"/>
        <w:jc w:val="both"/>
      </w:pPr>
      <w:r>
        <w:rPr>
          <w:rStyle w:val="Refdenotaalpie"/>
        </w:rPr>
        <w:footnoteRef/>
      </w:r>
      <w:r>
        <w:t xml:space="preserve"> Resolución Nº 1217-2008-TC-S3,  Resolución Nº 963-2007-TC-S1, Resolución Nº 336-2007-TC-S1, entre otras.</w:t>
      </w:r>
    </w:p>
    <w:p w:rsidR="00182270" w:rsidRDefault="00182270" w:rsidP="00182270">
      <w:pPr>
        <w:pStyle w:val="Textonotapie"/>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3EA" w:rsidRDefault="005843EA" w:rsidP="005843EA">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843EA" w:rsidRDefault="005843EA" w:rsidP="005843EA">
    <w:pPr>
      <w:pStyle w:val="Encabezado"/>
      <w:rPr>
        <w:noProof/>
      </w:rPr>
    </w:pPr>
  </w:p>
  <w:p w:rsidR="005843EA" w:rsidRDefault="005843EA" w:rsidP="005843EA">
    <w:pPr>
      <w:pStyle w:val="Encabezado"/>
      <w:rPr>
        <w:noProof/>
      </w:rPr>
    </w:pPr>
  </w:p>
  <w:p w:rsidR="005843EA" w:rsidRDefault="005843EA" w:rsidP="005843EA">
    <w:pPr>
      <w:pStyle w:val="Encabezado"/>
      <w:rPr>
        <w:noProof/>
      </w:rPr>
    </w:pPr>
  </w:p>
  <w:p w:rsidR="005843EA" w:rsidRDefault="005843EA" w:rsidP="005843EA">
    <w:pPr>
      <w:pStyle w:val="Encabezado"/>
      <w:jc w:val="center"/>
    </w:pPr>
    <w:r>
      <w:rPr>
        <w:rFonts w:ascii="Monotype Corsiva" w:hAnsi="Monotype Corsiva"/>
        <w:b/>
        <w:sz w:val="44"/>
        <w:szCs w:val="44"/>
      </w:rPr>
      <w:t xml:space="preserve">Resolución Nº   </w:t>
    </w:r>
    <w:r>
      <w:rPr>
        <w:rFonts w:ascii="Tahoma" w:hAnsi="Tahoma" w:cs="Tahoma"/>
        <w:b/>
        <w:sz w:val="44"/>
        <w:szCs w:val="44"/>
      </w:rPr>
      <w:t>400-2011-TC-S1</w:t>
    </w:r>
  </w:p>
  <w:p w:rsidR="005843EA" w:rsidRDefault="005843E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
    <w:nsid w:val="0DF9396F"/>
    <w:multiLevelType w:val="hybridMultilevel"/>
    <w:tmpl w:val="DE0C2EBC"/>
    <w:lvl w:ilvl="0" w:tplc="6DF60CE4">
      <w:start w:val="1"/>
      <w:numFmt w:val="decimal"/>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0FB962BC"/>
    <w:multiLevelType w:val="hybridMultilevel"/>
    <w:tmpl w:val="36D600A0"/>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3">
    <w:nsid w:val="16FC0361"/>
    <w:multiLevelType w:val="hybridMultilevel"/>
    <w:tmpl w:val="711A8A4E"/>
    <w:lvl w:ilvl="0" w:tplc="7D4EB756">
      <w:start w:val="1"/>
      <w:numFmt w:val="decimal"/>
      <w:lvlText w:val="%1."/>
      <w:lvlJc w:val="left"/>
      <w:pPr>
        <w:ind w:left="720" w:hanging="360"/>
      </w:pPr>
      <w:rPr>
        <w:rFonts w:ascii="Tahoma" w:hAnsi="Tahoma" w:cs="Tahoma" w:hint="default"/>
        <w:b/>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49C83885"/>
    <w:multiLevelType w:val="hybridMultilevel"/>
    <w:tmpl w:val="F566D760"/>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nsid w:val="5D8F128C"/>
    <w:multiLevelType w:val="hybridMultilevel"/>
    <w:tmpl w:val="6D084512"/>
    <w:lvl w:ilvl="0" w:tplc="0C0A0001">
      <w:start w:val="1"/>
      <w:numFmt w:val="bullet"/>
      <w:lvlText w:val=""/>
      <w:lvlJc w:val="left"/>
      <w:pPr>
        <w:tabs>
          <w:tab w:val="num" w:pos="340"/>
        </w:tabs>
        <w:ind w:left="340" w:hanging="340"/>
      </w:pPr>
      <w:rPr>
        <w:rFonts w:ascii="Symbol" w:hAnsi="Symbol"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nsid w:val="5FDC570C"/>
    <w:multiLevelType w:val="hybridMultilevel"/>
    <w:tmpl w:val="4C80291E"/>
    <w:lvl w:ilvl="0" w:tplc="68225D50">
      <w:start w:val="2"/>
      <w:numFmt w:val="upp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0">
    <w:nsid w:val="674E6DDC"/>
    <w:multiLevelType w:val="hybridMultilevel"/>
    <w:tmpl w:val="A01257EC"/>
    <w:lvl w:ilvl="0" w:tplc="4BF6AD28">
      <w:start w:val="1"/>
      <w:numFmt w:val="decimal"/>
      <w:lvlText w:val="%1."/>
      <w:lvlJc w:val="left"/>
      <w:pPr>
        <w:ind w:left="900" w:hanging="360"/>
      </w:pPr>
      <w:rPr>
        <w:rFonts w:hint="default"/>
        <w:b/>
        <w:i w:val="0"/>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11">
    <w:nsid w:val="77500BCF"/>
    <w:multiLevelType w:val="hybridMultilevel"/>
    <w:tmpl w:val="E43A4BC0"/>
    <w:lvl w:ilvl="0" w:tplc="0C0A0001">
      <w:start w:val="1"/>
      <w:numFmt w:val="bullet"/>
      <w:lvlText w:val=""/>
      <w:lvlJc w:val="left"/>
      <w:pPr>
        <w:ind w:left="1260" w:hanging="360"/>
      </w:pPr>
      <w:rPr>
        <w:rFonts w:ascii="Symbol" w:hAnsi="Symbol" w:hint="default"/>
      </w:rPr>
    </w:lvl>
    <w:lvl w:ilvl="1" w:tplc="0C0A0001">
      <w:start w:val="1"/>
      <w:numFmt w:val="bullet"/>
      <w:lvlText w:val=""/>
      <w:lvlJc w:val="left"/>
      <w:pPr>
        <w:ind w:left="1980" w:hanging="360"/>
      </w:pPr>
      <w:rPr>
        <w:rFonts w:ascii="Symbol" w:hAnsi="Symbol" w:hint="default"/>
      </w:rPr>
    </w:lvl>
    <w:lvl w:ilvl="2" w:tplc="0C0A0005">
      <w:start w:val="1"/>
      <w:numFmt w:val="bullet"/>
      <w:lvlText w:val=""/>
      <w:lvlJc w:val="left"/>
      <w:pPr>
        <w:ind w:left="2700" w:hanging="360"/>
      </w:pPr>
      <w:rPr>
        <w:rFonts w:ascii="Wingdings" w:hAnsi="Wingdings" w:hint="default"/>
      </w:rPr>
    </w:lvl>
    <w:lvl w:ilvl="3" w:tplc="0C0A0001" w:tentative="1">
      <w:start w:val="1"/>
      <w:numFmt w:val="bullet"/>
      <w:lvlText w:val=""/>
      <w:lvlJc w:val="left"/>
      <w:pPr>
        <w:ind w:left="3420" w:hanging="360"/>
      </w:pPr>
      <w:rPr>
        <w:rFonts w:ascii="Symbol" w:hAnsi="Symbol" w:hint="default"/>
      </w:rPr>
    </w:lvl>
    <w:lvl w:ilvl="4" w:tplc="0C0A0003" w:tentative="1">
      <w:start w:val="1"/>
      <w:numFmt w:val="bullet"/>
      <w:lvlText w:val="o"/>
      <w:lvlJc w:val="left"/>
      <w:pPr>
        <w:ind w:left="4140" w:hanging="360"/>
      </w:pPr>
      <w:rPr>
        <w:rFonts w:ascii="Courier New" w:hAnsi="Courier New" w:cs="Courier New" w:hint="default"/>
      </w:rPr>
    </w:lvl>
    <w:lvl w:ilvl="5" w:tplc="0C0A0005" w:tentative="1">
      <w:start w:val="1"/>
      <w:numFmt w:val="bullet"/>
      <w:lvlText w:val=""/>
      <w:lvlJc w:val="left"/>
      <w:pPr>
        <w:ind w:left="4860" w:hanging="360"/>
      </w:pPr>
      <w:rPr>
        <w:rFonts w:ascii="Wingdings" w:hAnsi="Wingdings" w:hint="default"/>
      </w:rPr>
    </w:lvl>
    <w:lvl w:ilvl="6" w:tplc="0C0A0001" w:tentative="1">
      <w:start w:val="1"/>
      <w:numFmt w:val="bullet"/>
      <w:lvlText w:val=""/>
      <w:lvlJc w:val="left"/>
      <w:pPr>
        <w:ind w:left="5580" w:hanging="360"/>
      </w:pPr>
      <w:rPr>
        <w:rFonts w:ascii="Symbol" w:hAnsi="Symbol" w:hint="default"/>
      </w:rPr>
    </w:lvl>
    <w:lvl w:ilvl="7" w:tplc="0C0A0003" w:tentative="1">
      <w:start w:val="1"/>
      <w:numFmt w:val="bullet"/>
      <w:lvlText w:val="o"/>
      <w:lvlJc w:val="left"/>
      <w:pPr>
        <w:ind w:left="6300" w:hanging="360"/>
      </w:pPr>
      <w:rPr>
        <w:rFonts w:ascii="Courier New" w:hAnsi="Courier New" w:cs="Courier New" w:hint="default"/>
      </w:rPr>
    </w:lvl>
    <w:lvl w:ilvl="8" w:tplc="0C0A0005" w:tentative="1">
      <w:start w:val="1"/>
      <w:numFmt w:val="bullet"/>
      <w:lvlText w:val=""/>
      <w:lvlJc w:val="left"/>
      <w:pPr>
        <w:ind w:left="7020" w:hanging="360"/>
      </w:pPr>
      <w:rPr>
        <w:rFonts w:ascii="Wingdings" w:hAnsi="Wingdings" w:hint="default"/>
      </w:rPr>
    </w:lvl>
  </w:abstractNum>
  <w:num w:numId="1">
    <w:abstractNumId w:val="6"/>
  </w:num>
  <w:num w:numId="2">
    <w:abstractNumId w:val="4"/>
  </w:num>
  <w:num w:numId="3">
    <w:abstractNumId w:val="7"/>
  </w:num>
  <w:num w:numId="4">
    <w:abstractNumId w:val="0"/>
  </w:num>
  <w:num w:numId="5">
    <w:abstractNumId w:val="8"/>
  </w:num>
  <w:num w:numId="6">
    <w:abstractNumId w:val="2"/>
  </w:num>
  <w:num w:numId="7">
    <w:abstractNumId w:val="9"/>
  </w:num>
  <w:num w:numId="8">
    <w:abstractNumId w:val="5"/>
  </w:num>
  <w:num w:numId="9">
    <w:abstractNumId w:val="3"/>
  </w:num>
  <w:num w:numId="10">
    <w:abstractNumId w:val="11"/>
  </w:num>
  <w:num w:numId="11">
    <w:abstractNumId w:val="1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182270"/>
    <w:rsid w:val="00182270"/>
    <w:rsid w:val="00196655"/>
    <w:rsid w:val="001F6BBF"/>
    <w:rsid w:val="00496AD0"/>
    <w:rsid w:val="005843EA"/>
    <w:rsid w:val="008360FC"/>
    <w:rsid w:val="008B24C8"/>
    <w:rsid w:val="00EE27D3"/>
    <w:rsid w:val="00EF513A"/>
    <w:rsid w:val="00FB205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27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182270"/>
    <w:pPr>
      <w:spacing w:after="120"/>
    </w:pPr>
    <w:rPr>
      <w:sz w:val="16"/>
      <w:szCs w:val="16"/>
      <w:lang w:val="es-PE"/>
    </w:rPr>
  </w:style>
  <w:style w:type="character" w:customStyle="1" w:styleId="Textoindependiente3Car">
    <w:name w:val="Texto independiente 3 Car"/>
    <w:basedOn w:val="Fuentedeprrafopredeter"/>
    <w:link w:val="Textoindependiente3"/>
    <w:rsid w:val="00182270"/>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182270"/>
    <w:pPr>
      <w:jc w:val="both"/>
    </w:pPr>
    <w:rPr>
      <w:rFonts w:ascii="Tahoma" w:hAnsi="Tahoma"/>
      <w:sz w:val="22"/>
      <w:szCs w:val="20"/>
    </w:rPr>
  </w:style>
  <w:style w:type="paragraph" w:styleId="Prrafodelista">
    <w:name w:val="List Paragraph"/>
    <w:basedOn w:val="Normal"/>
    <w:uiPriority w:val="99"/>
    <w:qFormat/>
    <w:rsid w:val="00182270"/>
    <w:pPr>
      <w:widowControl w:val="0"/>
      <w:suppressAutoHyphens/>
      <w:ind w:left="708"/>
    </w:pPr>
    <w:rPr>
      <w:szCs w:val="20"/>
      <w:lang w:val="es-ES_tradnl"/>
    </w:rPr>
  </w:style>
  <w:style w:type="paragraph" w:styleId="Piedepgina">
    <w:name w:val="footer"/>
    <w:basedOn w:val="Normal"/>
    <w:link w:val="PiedepginaCar"/>
    <w:uiPriority w:val="99"/>
    <w:unhideWhenUsed/>
    <w:rsid w:val="00182270"/>
    <w:pPr>
      <w:tabs>
        <w:tab w:val="center" w:pos="4252"/>
        <w:tab w:val="right" w:pos="8504"/>
      </w:tabs>
    </w:pPr>
  </w:style>
  <w:style w:type="character" w:customStyle="1" w:styleId="PiedepginaCar">
    <w:name w:val="Pie de página Car"/>
    <w:basedOn w:val="Fuentedeprrafopredeter"/>
    <w:link w:val="Piedepgina"/>
    <w:uiPriority w:val="99"/>
    <w:rsid w:val="00182270"/>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rsid w:val="00182270"/>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rsid w:val="001822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82270"/>
    <w:rPr>
      <w:rFonts w:cs="Times New Roman"/>
      <w:vertAlign w:val="superscript"/>
    </w:rPr>
  </w:style>
  <w:style w:type="paragraph" w:styleId="Sangradetextonormal">
    <w:name w:val="Body Text Indent"/>
    <w:basedOn w:val="Normal"/>
    <w:link w:val="SangradetextonormalCar"/>
    <w:uiPriority w:val="99"/>
    <w:rsid w:val="00182270"/>
    <w:pPr>
      <w:spacing w:after="120"/>
      <w:ind w:left="283"/>
    </w:pPr>
  </w:style>
  <w:style w:type="character" w:customStyle="1" w:styleId="SangradetextonormalCar">
    <w:name w:val="Sangría de texto normal Car"/>
    <w:basedOn w:val="Fuentedeprrafopredeter"/>
    <w:link w:val="Sangradetextonormal"/>
    <w:uiPriority w:val="99"/>
    <w:rsid w:val="00182270"/>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182270"/>
    <w:pPr>
      <w:spacing w:after="120"/>
    </w:pPr>
  </w:style>
  <w:style w:type="character" w:customStyle="1" w:styleId="TextoindependienteCar">
    <w:name w:val="Texto independiente Car"/>
    <w:basedOn w:val="Fuentedeprrafopredeter"/>
    <w:link w:val="Textoindependiente"/>
    <w:uiPriority w:val="99"/>
    <w:rsid w:val="00182270"/>
    <w:rPr>
      <w:rFonts w:ascii="Times New Roman" w:eastAsia="Times New Roman" w:hAnsi="Times New Roman" w:cs="Times New Roman"/>
      <w:sz w:val="24"/>
      <w:szCs w:val="24"/>
      <w:lang w:eastAsia="es-ES"/>
    </w:rPr>
  </w:style>
  <w:style w:type="paragraph" w:customStyle="1" w:styleId="p1">
    <w:name w:val="p1"/>
    <w:basedOn w:val="Normal"/>
    <w:rsid w:val="00182270"/>
    <w:pPr>
      <w:widowControl w:val="0"/>
      <w:tabs>
        <w:tab w:val="left" w:pos="16640"/>
      </w:tabs>
      <w:suppressAutoHyphens/>
      <w:spacing w:line="240" w:lineRule="atLeast"/>
      <w:ind w:left="7600"/>
      <w:jc w:val="both"/>
    </w:pPr>
    <w:rPr>
      <w:rFonts w:ascii="Times" w:hAnsi="Times"/>
      <w:szCs w:val="20"/>
      <w:lang w:eastAsia="ar-SA"/>
    </w:rPr>
  </w:style>
  <w:style w:type="table" w:styleId="Sombreadoclaro-nfasis4">
    <w:name w:val="Light Shading Accent 4"/>
    <w:basedOn w:val="Tablanormal"/>
    <w:uiPriority w:val="60"/>
    <w:rsid w:val="00182270"/>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Encabezado">
    <w:name w:val="header"/>
    <w:aliases w:val="maria,h"/>
    <w:basedOn w:val="Normal"/>
    <w:link w:val="EncabezadoCar"/>
    <w:uiPriority w:val="99"/>
    <w:semiHidden/>
    <w:unhideWhenUsed/>
    <w:rsid w:val="005843EA"/>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5843EA"/>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80191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1944</Words>
  <Characters>10698</Characters>
  <Application>Microsoft Office Word</Application>
  <DocSecurity>0</DocSecurity>
  <Lines>89</Lines>
  <Paragraphs>25</Paragraphs>
  <ScaleCrop>false</ScaleCrop>
  <Company/>
  <LinksUpToDate>false</LinksUpToDate>
  <CharactersWithSpaces>12617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4</cp:revision>
  <cp:lastPrinted>2011-03-07T20:50:00Z</cp:lastPrinted>
  <dcterms:created xsi:type="dcterms:W3CDTF">2011-03-07T20:26:00Z</dcterms:created>
  <dcterms:modified xsi:type="dcterms:W3CDTF">2011-04-06T16:25:00Z</dcterms:modified>
</cp:coreProperties>
</file>